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4CD5" w14:textId="77777777" w:rsidR="00634088" w:rsidRPr="00CB7B2A" w:rsidRDefault="00634088" w:rsidP="00634088">
      <w:pPr>
        <w:rPr>
          <w:rFonts w:cs="Arial"/>
          <w:b/>
          <w:vertAlign w:val="superscript"/>
        </w:rPr>
      </w:pPr>
    </w:p>
    <w:p w14:paraId="1D3D6FA1" w14:textId="77777777" w:rsidR="00634088" w:rsidRPr="001803FA" w:rsidRDefault="00634088" w:rsidP="00634088">
      <w:pPr>
        <w:rPr>
          <w:rFonts w:cs="Arial"/>
          <w:b/>
        </w:rPr>
      </w:pPr>
    </w:p>
    <w:p w14:paraId="58F03101" w14:textId="0BC80B90" w:rsidR="00634088" w:rsidRPr="001803FA" w:rsidRDefault="00634088" w:rsidP="00634088">
      <w:pPr>
        <w:rPr>
          <w:rFonts w:cs="Arial"/>
          <w:b/>
        </w:rPr>
      </w:pPr>
      <w:r w:rsidRPr="001803FA">
        <w:rPr>
          <w:rFonts w:cs="Arial"/>
          <w:b/>
          <w:noProof/>
          <w:lang w:eastAsia="en-US"/>
        </w:rPr>
        <w:drawing>
          <wp:anchor distT="0" distB="0" distL="114300" distR="114300" simplePos="0" relativeHeight="251658240" behindDoc="0" locked="0" layoutInCell="1" allowOverlap="1" wp14:anchorId="6C554260" wp14:editId="0F602EEA">
            <wp:simplePos x="0" y="0"/>
            <wp:positionH relativeFrom="column">
              <wp:posOffset>-242570</wp:posOffset>
            </wp:positionH>
            <wp:positionV relativeFrom="paragraph">
              <wp:posOffset>-387985</wp:posOffset>
            </wp:positionV>
            <wp:extent cx="794385" cy="794385"/>
            <wp:effectExtent l="0" t="0" r="0" b="0"/>
            <wp:wrapThrough wrapText="bothSides">
              <wp:wrapPolygon edited="0">
                <wp:start x="0" y="0"/>
                <wp:lineTo x="0" y="20719"/>
                <wp:lineTo x="20719" y="20719"/>
                <wp:lineTo x="207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solidFill>
                      <a:srgbClr val="000090"/>
                    </a:solidFill>
                  </pic:spPr>
                </pic:pic>
              </a:graphicData>
            </a:graphic>
            <wp14:sizeRelH relativeFrom="page">
              <wp14:pctWidth>0</wp14:pctWidth>
            </wp14:sizeRelH>
            <wp14:sizeRelV relativeFrom="page">
              <wp14:pctHeight>0</wp14:pctHeight>
            </wp14:sizeRelV>
          </wp:anchor>
        </w:drawing>
      </w:r>
    </w:p>
    <w:p w14:paraId="1194D213" w14:textId="77777777" w:rsidR="00634088" w:rsidRPr="001803FA" w:rsidRDefault="00634088" w:rsidP="00634088">
      <w:pPr>
        <w:rPr>
          <w:rFonts w:cs="Arial"/>
          <w:b/>
        </w:rPr>
      </w:pPr>
    </w:p>
    <w:p w14:paraId="4662ED6F" w14:textId="77777777" w:rsidR="00634088" w:rsidRDefault="00634088" w:rsidP="00634088">
      <w:pPr>
        <w:rPr>
          <w:rFonts w:cs="Arial"/>
          <w:b/>
        </w:rPr>
      </w:pPr>
    </w:p>
    <w:p w14:paraId="42611160" w14:textId="77777777" w:rsidR="00281FB5" w:rsidRPr="001803FA" w:rsidRDefault="00281FB5" w:rsidP="00634088">
      <w:pPr>
        <w:rPr>
          <w:rFonts w:cs="Arial"/>
          <w:b/>
        </w:rPr>
      </w:pPr>
    </w:p>
    <w:p w14:paraId="4C545D9A" w14:textId="77777777" w:rsidR="00634088" w:rsidRPr="00117DF3" w:rsidRDefault="00634088" w:rsidP="00634088">
      <w:pPr>
        <w:pBdr>
          <w:bottom w:val="single" w:sz="4" w:space="0" w:color="auto"/>
        </w:pBdr>
        <w:ind w:left="-360"/>
        <w:rPr>
          <w:rFonts w:cs="Arial"/>
          <w:sz w:val="28"/>
          <w:szCs w:val="28"/>
        </w:rPr>
      </w:pPr>
      <w:r w:rsidRPr="00117DF3">
        <w:rPr>
          <w:rFonts w:cs="Arial"/>
          <w:sz w:val="28"/>
          <w:szCs w:val="28"/>
        </w:rPr>
        <w:t>Technical Assistance Consultant’s Report</w:t>
      </w:r>
    </w:p>
    <w:p w14:paraId="3068BDD9" w14:textId="77777777" w:rsidR="00634088" w:rsidRPr="001803FA" w:rsidRDefault="00634088" w:rsidP="00634088">
      <w:pPr>
        <w:rPr>
          <w:rFonts w:cs="Arial"/>
        </w:rPr>
      </w:pPr>
    </w:p>
    <w:p w14:paraId="3D47EDD2" w14:textId="77777777" w:rsidR="00634088" w:rsidRPr="001803FA" w:rsidRDefault="00634088" w:rsidP="00634088">
      <w:pPr>
        <w:pStyle w:val="ParagraphTextNormal"/>
        <w:widowControl w:val="0"/>
        <w:spacing w:before="0" w:after="0" w:line="240" w:lineRule="auto"/>
        <w:rPr>
          <w:rFonts w:ascii="Arial" w:hAnsi="Arial" w:cs="Arial"/>
          <w:sz w:val="22"/>
          <w:szCs w:val="22"/>
        </w:rPr>
      </w:pPr>
    </w:p>
    <w:p w14:paraId="0B7B6FC7" w14:textId="77777777" w:rsidR="00634088" w:rsidRPr="001803FA" w:rsidRDefault="00634088" w:rsidP="00634088">
      <w:pPr>
        <w:rPr>
          <w:rFonts w:cs="Arial"/>
        </w:rPr>
      </w:pPr>
    </w:p>
    <w:p w14:paraId="197BDAA5" w14:textId="5E2E6C8D" w:rsidR="00634088" w:rsidRPr="001803FA" w:rsidRDefault="00634088" w:rsidP="00370F8A">
      <w:pPr>
        <w:spacing w:line="360" w:lineRule="auto"/>
        <w:ind w:left="-360"/>
        <w:rPr>
          <w:rFonts w:cs="Arial"/>
          <w:bCs/>
          <w:sz w:val="24"/>
          <w:szCs w:val="24"/>
        </w:rPr>
      </w:pPr>
      <w:r w:rsidRPr="001803FA">
        <w:rPr>
          <w:rFonts w:cs="Arial"/>
          <w:bCs/>
          <w:sz w:val="24"/>
          <w:szCs w:val="24"/>
        </w:rPr>
        <w:t>Project Number: TA</w:t>
      </w:r>
      <w:r w:rsidR="00931EDE">
        <w:rPr>
          <w:rFonts w:cs="Arial"/>
          <w:bCs/>
          <w:sz w:val="24"/>
          <w:szCs w:val="24"/>
        </w:rPr>
        <w:t>-</w:t>
      </w:r>
      <w:r w:rsidR="0094354C">
        <w:rPr>
          <w:rFonts w:cs="Arial"/>
          <w:bCs/>
          <w:sz w:val="24"/>
          <w:szCs w:val="24"/>
        </w:rPr>
        <w:t>9332</w:t>
      </w:r>
      <w:r w:rsidR="00662C14">
        <w:rPr>
          <w:rFonts w:cs="Arial"/>
          <w:bCs/>
          <w:sz w:val="24"/>
          <w:szCs w:val="24"/>
        </w:rPr>
        <w:t xml:space="preserve"> </w:t>
      </w:r>
      <w:r w:rsidR="0094354C">
        <w:rPr>
          <w:rFonts w:cs="Arial"/>
          <w:bCs/>
          <w:sz w:val="24"/>
          <w:szCs w:val="24"/>
        </w:rPr>
        <w:t>ARM</w:t>
      </w:r>
    </w:p>
    <w:p w14:paraId="3F7FAC01" w14:textId="78DD2020" w:rsidR="00634088" w:rsidRPr="001803FA" w:rsidRDefault="00221B5B" w:rsidP="00370F8A">
      <w:pPr>
        <w:spacing w:line="360" w:lineRule="auto"/>
        <w:ind w:left="-360"/>
        <w:rPr>
          <w:rFonts w:cs="Arial"/>
          <w:bCs/>
          <w:sz w:val="24"/>
          <w:szCs w:val="24"/>
        </w:rPr>
      </w:pPr>
      <w:r>
        <w:rPr>
          <w:rFonts w:cs="Arial"/>
          <w:bCs/>
          <w:sz w:val="24"/>
          <w:szCs w:val="24"/>
        </w:rPr>
        <w:t xml:space="preserve">March </w:t>
      </w:r>
      <w:r w:rsidR="00662C14">
        <w:rPr>
          <w:rFonts w:cs="Arial"/>
          <w:bCs/>
          <w:sz w:val="24"/>
          <w:szCs w:val="24"/>
        </w:rPr>
        <w:t>201</w:t>
      </w:r>
      <w:r w:rsidR="0094354C">
        <w:rPr>
          <w:rFonts w:cs="Arial"/>
          <w:bCs/>
          <w:sz w:val="24"/>
          <w:szCs w:val="24"/>
        </w:rPr>
        <w:t>8</w:t>
      </w:r>
    </w:p>
    <w:p w14:paraId="1FF687D2" w14:textId="77777777" w:rsidR="00634088" w:rsidRPr="001803FA" w:rsidRDefault="00634088" w:rsidP="00634088">
      <w:pPr>
        <w:ind w:left="-360" w:firstLine="360"/>
        <w:rPr>
          <w:rFonts w:cs="Arial"/>
          <w:sz w:val="24"/>
          <w:szCs w:val="24"/>
        </w:rPr>
      </w:pPr>
    </w:p>
    <w:p w14:paraId="61AC3E3B" w14:textId="77777777" w:rsidR="00634088" w:rsidRPr="001803FA" w:rsidRDefault="00634088" w:rsidP="00634088">
      <w:pPr>
        <w:pStyle w:val="Default"/>
        <w:rPr>
          <w:sz w:val="22"/>
          <w:szCs w:val="22"/>
        </w:rPr>
      </w:pPr>
    </w:p>
    <w:p w14:paraId="4FC53484" w14:textId="1B1D3CAB" w:rsidR="00634088" w:rsidRPr="00370F8A" w:rsidRDefault="0025699F" w:rsidP="00634088">
      <w:pPr>
        <w:ind w:left="-360"/>
        <w:rPr>
          <w:rFonts w:cs="Arial"/>
          <w:sz w:val="40"/>
          <w:szCs w:val="40"/>
        </w:rPr>
      </w:pPr>
      <w:r>
        <w:rPr>
          <w:rFonts w:cs="Arial"/>
          <w:sz w:val="40"/>
          <w:szCs w:val="40"/>
        </w:rPr>
        <w:t>Armenia</w:t>
      </w:r>
      <w:r w:rsidR="00634088" w:rsidRPr="00370F8A">
        <w:rPr>
          <w:rFonts w:cs="Arial"/>
          <w:sz w:val="40"/>
          <w:szCs w:val="40"/>
        </w:rPr>
        <w:t>: Strengthenin</w:t>
      </w:r>
      <w:r w:rsidR="00662C14">
        <w:rPr>
          <w:rFonts w:cs="Arial"/>
          <w:sz w:val="40"/>
          <w:szCs w:val="40"/>
        </w:rPr>
        <w:t xml:space="preserve">g Public Debt Management </w:t>
      </w:r>
    </w:p>
    <w:p w14:paraId="5B7C92C1" w14:textId="77777777" w:rsidR="00634088" w:rsidRPr="001803FA" w:rsidRDefault="00634088" w:rsidP="00634088">
      <w:pPr>
        <w:rPr>
          <w:rFonts w:cs="Arial"/>
        </w:rPr>
      </w:pPr>
    </w:p>
    <w:p w14:paraId="5115564B" w14:textId="77777777" w:rsidR="00715DD6" w:rsidRPr="001803FA" w:rsidRDefault="00715DD6" w:rsidP="00715DD6">
      <w:pPr>
        <w:ind w:left="-360"/>
        <w:rPr>
          <w:rFonts w:cs="Arial"/>
          <w:iCs/>
        </w:rPr>
      </w:pPr>
    </w:p>
    <w:p w14:paraId="69FA1CC0" w14:textId="5626563F" w:rsidR="00634088" w:rsidRPr="00370F8A" w:rsidRDefault="00221B5B" w:rsidP="00715DD6">
      <w:pPr>
        <w:ind w:left="-360"/>
        <w:rPr>
          <w:rFonts w:cs="Arial"/>
          <w:iCs/>
          <w:sz w:val="28"/>
          <w:szCs w:val="28"/>
        </w:rPr>
      </w:pPr>
      <w:r w:rsidRPr="00370F8A">
        <w:rPr>
          <w:rFonts w:cs="Arial"/>
          <w:iCs/>
          <w:sz w:val="28"/>
          <w:szCs w:val="28"/>
        </w:rPr>
        <w:t>In</w:t>
      </w:r>
      <w:r>
        <w:rPr>
          <w:rFonts w:cs="Arial"/>
          <w:iCs/>
          <w:sz w:val="28"/>
          <w:szCs w:val="28"/>
        </w:rPr>
        <w:t>terim</w:t>
      </w:r>
      <w:r w:rsidRPr="00370F8A">
        <w:rPr>
          <w:rFonts w:cs="Arial"/>
          <w:iCs/>
          <w:sz w:val="28"/>
          <w:szCs w:val="28"/>
        </w:rPr>
        <w:t xml:space="preserve"> </w:t>
      </w:r>
      <w:r w:rsidR="00715DD6" w:rsidRPr="00370F8A">
        <w:rPr>
          <w:rFonts w:cs="Arial"/>
          <w:iCs/>
          <w:sz w:val="28"/>
          <w:szCs w:val="28"/>
        </w:rPr>
        <w:t>Report</w:t>
      </w:r>
    </w:p>
    <w:p w14:paraId="3B2DE3CB" w14:textId="77777777" w:rsidR="00634088" w:rsidRPr="001803FA" w:rsidRDefault="00634088" w:rsidP="00634088">
      <w:pPr>
        <w:rPr>
          <w:rFonts w:cs="Arial"/>
        </w:rPr>
      </w:pPr>
    </w:p>
    <w:p w14:paraId="621CE8F5" w14:textId="77777777" w:rsidR="00715DD6" w:rsidRPr="001803FA" w:rsidRDefault="00715DD6" w:rsidP="00634088">
      <w:pPr>
        <w:rPr>
          <w:rFonts w:cs="Arial"/>
        </w:rPr>
      </w:pPr>
    </w:p>
    <w:p w14:paraId="0A21E330" w14:textId="77777777" w:rsidR="00715DD6" w:rsidRPr="001803FA" w:rsidRDefault="00715DD6" w:rsidP="00634088">
      <w:pPr>
        <w:rPr>
          <w:rFonts w:cs="Arial"/>
        </w:rPr>
      </w:pPr>
    </w:p>
    <w:p w14:paraId="17987C1F" w14:textId="77777777" w:rsidR="00634088" w:rsidRPr="001803FA" w:rsidRDefault="00634088" w:rsidP="00634088">
      <w:pPr>
        <w:rPr>
          <w:rFonts w:cs="Arial"/>
        </w:rPr>
      </w:pPr>
    </w:p>
    <w:p w14:paraId="58ECBE94" w14:textId="2C5E40FE" w:rsidR="00634088" w:rsidRPr="00117DF3" w:rsidRDefault="00634088" w:rsidP="00370F8A">
      <w:pPr>
        <w:spacing w:line="360" w:lineRule="auto"/>
        <w:ind w:left="-360"/>
        <w:rPr>
          <w:rFonts w:cs="Arial"/>
          <w:bCs/>
          <w:sz w:val="24"/>
          <w:szCs w:val="24"/>
        </w:rPr>
      </w:pPr>
      <w:r w:rsidRPr="00117DF3">
        <w:rPr>
          <w:rFonts w:cs="Arial"/>
          <w:bCs/>
          <w:sz w:val="24"/>
          <w:szCs w:val="24"/>
        </w:rPr>
        <w:t xml:space="preserve">Prepared by: </w:t>
      </w:r>
      <w:r w:rsidR="0094354C">
        <w:rPr>
          <w:rFonts w:cs="Arial"/>
          <w:bCs/>
          <w:sz w:val="24"/>
          <w:szCs w:val="24"/>
        </w:rPr>
        <w:t>Arindam Roy</w:t>
      </w:r>
    </w:p>
    <w:p w14:paraId="29EB5880" w14:textId="0C724A56" w:rsidR="00FF373D" w:rsidRPr="00117DF3" w:rsidRDefault="00FF373D" w:rsidP="00370F8A">
      <w:pPr>
        <w:spacing w:line="360" w:lineRule="auto"/>
        <w:ind w:left="-360"/>
        <w:rPr>
          <w:rFonts w:cs="Arial"/>
          <w:bCs/>
          <w:sz w:val="24"/>
          <w:szCs w:val="24"/>
        </w:rPr>
      </w:pPr>
      <w:r w:rsidRPr="00117DF3">
        <w:rPr>
          <w:rFonts w:cs="Arial"/>
          <w:bCs/>
          <w:sz w:val="24"/>
          <w:szCs w:val="24"/>
        </w:rPr>
        <w:t>Date:</w:t>
      </w:r>
      <w:r w:rsidR="00662C14">
        <w:rPr>
          <w:rFonts w:cs="Arial"/>
          <w:bCs/>
          <w:sz w:val="24"/>
          <w:szCs w:val="24"/>
        </w:rPr>
        <w:t xml:space="preserve">   </w:t>
      </w:r>
      <w:r w:rsidR="0094354C">
        <w:rPr>
          <w:rFonts w:cs="Arial"/>
          <w:bCs/>
          <w:sz w:val="24"/>
          <w:szCs w:val="24"/>
        </w:rPr>
        <w:t>February</w:t>
      </w:r>
      <w:r w:rsidR="00662C14">
        <w:rPr>
          <w:rFonts w:cs="Arial"/>
          <w:bCs/>
          <w:sz w:val="24"/>
          <w:szCs w:val="24"/>
        </w:rPr>
        <w:t xml:space="preserve"> </w:t>
      </w:r>
      <w:r w:rsidR="009545C3">
        <w:rPr>
          <w:rFonts w:cs="Arial"/>
          <w:bCs/>
          <w:sz w:val="24"/>
          <w:szCs w:val="24"/>
        </w:rPr>
        <w:t>16</w:t>
      </w:r>
      <w:r w:rsidR="00301B41">
        <w:rPr>
          <w:rFonts w:cs="Arial"/>
          <w:bCs/>
          <w:sz w:val="24"/>
          <w:szCs w:val="24"/>
        </w:rPr>
        <w:t xml:space="preserve">, </w:t>
      </w:r>
      <w:r w:rsidR="00662C14">
        <w:rPr>
          <w:rFonts w:cs="Arial"/>
          <w:bCs/>
          <w:sz w:val="24"/>
          <w:szCs w:val="24"/>
        </w:rPr>
        <w:t>201</w:t>
      </w:r>
      <w:r w:rsidR="0094354C">
        <w:rPr>
          <w:rFonts w:cs="Arial"/>
          <w:bCs/>
          <w:sz w:val="24"/>
          <w:szCs w:val="24"/>
        </w:rPr>
        <w:t>8</w:t>
      </w:r>
    </w:p>
    <w:p w14:paraId="44AEF480" w14:textId="66A049D2" w:rsidR="00FF373D" w:rsidRDefault="00FF373D" w:rsidP="00370F8A">
      <w:pPr>
        <w:spacing w:line="360" w:lineRule="auto"/>
        <w:ind w:left="-360"/>
        <w:rPr>
          <w:rFonts w:cs="Arial"/>
          <w:bCs/>
          <w:sz w:val="24"/>
          <w:szCs w:val="24"/>
        </w:rPr>
      </w:pPr>
    </w:p>
    <w:p w14:paraId="134EF081" w14:textId="4E0FE821" w:rsidR="00B1117A" w:rsidRPr="00117DF3" w:rsidRDefault="00A9471F" w:rsidP="00370F8A">
      <w:pPr>
        <w:spacing w:line="360" w:lineRule="auto"/>
        <w:ind w:left="-360"/>
        <w:rPr>
          <w:rFonts w:cs="Arial"/>
          <w:bCs/>
          <w:sz w:val="24"/>
          <w:szCs w:val="24"/>
        </w:rPr>
      </w:pPr>
      <w:r>
        <w:rPr>
          <w:rFonts w:cs="Arial"/>
          <w:bCs/>
          <w:sz w:val="24"/>
          <w:szCs w:val="24"/>
        </w:rPr>
        <w:t>F</w:t>
      </w:r>
      <w:r w:rsidR="00745A5E">
        <w:rPr>
          <w:rFonts w:cs="Arial"/>
          <w:bCs/>
          <w:sz w:val="24"/>
          <w:szCs w:val="24"/>
        </w:rPr>
        <w:t>or: Asian Development Bank</w:t>
      </w:r>
    </w:p>
    <w:p w14:paraId="7DAD5AE9" w14:textId="77777777" w:rsidR="00634088" w:rsidRPr="00117DF3" w:rsidRDefault="00634088" w:rsidP="00370F8A">
      <w:pPr>
        <w:spacing w:line="360" w:lineRule="auto"/>
        <w:ind w:left="-360"/>
        <w:rPr>
          <w:rFonts w:cs="Arial"/>
          <w:bCs/>
          <w:sz w:val="24"/>
          <w:szCs w:val="24"/>
        </w:rPr>
      </w:pPr>
    </w:p>
    <w:p w14:paraId="0D580BE2" w14:textId="77777777" w:rsidR="00634088" w:rsidRPr="00117DF3" w:rsidRDefault="00634088" w:rsidP="00193AC9">
      <w:pPr>
        <w:ind w:left="-360"/>
        <w:rPr>
          <w:rFonts w:cs="Arial"/>
          <w:bCs/>
          <w:sz w:val="24"/>
          <w:szCs w:val="24"/>
        </w:rPr>
      </w:pPr>
    </w:p>
    <w:p w14:paraId="05CCA7F5" w14:textId="77777777" w:rsidR="00634088" w:rsidRPr="00117DF3" w:rsidRDefault="00634088" w:rsidP="00193AC9">
      <w:pPr>
        <w:ind w:left="-360"/>
        <w:rPr>
          <w:rFonts w:cs="Arial"/>
          <w:bCs/>
          <w:sz w:val="24"/>
          <w:szCs w:val="24"/>
        </w:rPr>
      </w:pPr>
    </w:p>
    <w:p w14:paraId="7B085EA6" w14:textId="77777777" w:rsidR="00634088" w:rsidRDefault="00634088" w:rsidP="00634088">
      <w:pPr>
        <w:rPr>
          <w:rFonts w:cs="Arial"/>
        </w:rPr>
      </w:pPr>
    </w:p>
    <w:p w14:paraId="013400D3" w14:textId="77777777" w:rsidR="00832536" w:rsidRDefault="00832536" w:rsidP="00634088">
      <w:pPr>
        <w:rPr>
          <w:rFonts w:cs="Arial"/>
        </w:rPr>
      </w:pPr>
    </w:p>
    <w:p w14:paraId="43104AA3" w14:textId="77777777" w:rsidR="00832536" w:rsidRPr="001803FA" w:rsidRDefault="00832536" w:rsidP="00634088">
      <w:pPr>
        <w:rPr>
          <w:rFonts w:cs="Arial"/>
        </w:rPr>
      </w:pPr>
    </w:p>
    <w:p w14:paraId="0B2408D5" w14:textId="77777777" w:rsidR="00634088" w:rsidRPr="001803FA" w:rsidRDefault="00634088" w:rsidP="00634088">
      <w:pPr>
        <w:rPr>
          <w:rFonts w:cs="Arial"/>
        </w:rPr>
      </w:pPr>
    </w:p>
    <w:p w14:paraId="4D057562" w14:textId="77777777" w:rsidR="00193AC9" w:rsidRPr="001803FA" w:rsidRDefault="00193AC9" w:rsidP="00634088">
      <w:pPr>
        <w:rPr>
          <w:rFonts w:cs="Arial"/>
        </w:rPr>
      </w:pPr>
    </w:p>
    <w:p w14:paraId="65751C59" w14:textId="77777777" w:rsidR="00193AC9" w:rsidRPr="001803FA" w:rsidRDefault="00193AC9" w:rsidP="00634088">
      <w:pPr>
        <w:rPr>
          <w:rFonts w:cs="Arial"/>
        </w:rPr>
      </w:pPr>
    </w:p>
    <w:p w14:paraId="58CD63D0" w14:textId="77777777" w:rsidR="00193AC9" w:rsidRPr="001803FA" w:rsidRDefault="00193AC9" w:rsidP="00634088">
      <w:pPr>
        <w:rPr>
          <w:rFonts w:cs="Arial"/>
        </w:rPr>
      </w:pPr>
    </w:p>
    <w:p w14:paraId="2FE5584C" w14:textId="77777777" w:rsidR="00193AC9" w:rsidRPr="001803FA" w:rsidRDefault="00193AC9" w:rsidP="00634088">
      <w:pPr>
        <w:rPr>
          <w:rFonts w:cs="Arial"/>
        </w:rPr>
      </w:pPr>
    </w:p>
    <w:p w14:paraId="2595EEA7" w14:textId="77777777" w:rsidR="00193AC9" w:rsidRPr="001803FA" w:rsidRDefault="00193AC9" w:rsidP="00634088">
      <w:pPr>
        <w:rPr>
          <w:rFonts w:cs="Arial"/>
        </w:rPr>
      </w:pPr>
    </w:p>
    <w:p w14:paraId="1DB64DF3" w14:textId="33B17589" w:rsidR="00143746" w:rsidRPr="008E1ACA" w:rsidRDefault="00193AC9" w:rsidP="00FF373D">
      <w:pPr>
        <w:ind w:left="-360"/>
        <w:jc w:val="both"/>
        <w:rPr>
          <w:rFonts w:cs="Arial"/>
          <w:bCs/>
          <w:color w:val="808080" w:themeColor="background1" w:themeShade="80"/>
        </w:rPr>
      </w:pPr>
      <w:r w:rsidRPr="008E1ACA">
        <w:rPr>
          <w:rFonts w:cs="Arial"/>
          <w:bCs/>
          <w:noProof/>
          <w:color w:val="808080" w:themeColor="background1" w:themeShade="80"/>
          <w:lang w:eastAsia="en-US"/>
        </w:rPr>
        <w:drawing>
          <wp:anchor distT="0" distB="0" distL="114300" distR="114300" simplePos="0" relativeHeight="251660288" behindDoc="0" locked="0" layoutInCell="1" allowOverlap="1" wp14:anchorId="2E3542E7" wp14:editId="177D614A">
            <wp:simplePos x="0" y="0"/>
            <wp:positionH relativeFrom="column">
              <wp:posOffset>-228600</wp:posOffset>
            </wp:positionH>
            <wp:positionV relativeFrom="paragraph">
              <wp:posOffset>1055370</wp:posOffset>
            </wp:positionV>
            <wp:extent cx="2391410" cy="251460"/>
            <wp:effectExtent l="0" t="0" r="0" b="254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410" cy="251460"/>
                    </a:xfrm>
                    <a:prstGeom prst="rect">
                      <a:avLst/>
                    </a:prstGeom>
                    <a:noFill/>
                  </pic:spPr>
                </pic:pic>
              </a:graphicData>
            </a:graphic>
            <wp14:sizeRelH relativeFrom="page">
              <wp14:pctWidth>0</wp14:pctWidth>
            </wp14:sizeRelH>
            <wp14:sizeRelV relativeFrom="page">
              <wp14:pctHeight>0</wp14:pctHeight>
            </wp14:sizeRelV>
          </wp:anchor>
        </w:drawing>
      </w:r>
      <w:r w:rsidR="00634088" w:rsidRPr="008E1ACA">
        <w:rPr>
          <w:rFonts w:cs="Arial"/>
          <w:bCs/>
          <w:color w:val="808080" w:themeColor="background1" w:themeShade="80"/>
        </w:rPr>
        <w:t xml:space="preserve">This consultant’s report does not necessarily reflect the views of ADB or the Government concerned, and ADB and the Government </w:t>
      </w:r>
      <w:proofErr w:type="gramStart"/>
      <w:r w:rsidR="00634088" w:rsidRPr="008E1ACA">
        <w:rPr>
          <w:rFonts w:cs="Arial"/>
          <w:bCs/>
          <w:color w:val="808080" w:themeColor="background1" w:themeShade="80"/>
        </w:rPr>
        <w:t>cannot be held</w:t>
      </w:r>
      <w:proofErr w:type="gramEnd"/>
      <w:r w:rsidR="00634088" w:rsidRPr="008E1ACA">
        <w:rPr>
          <w:rFonts w:cs="Arial"/>
          <w:bCs/>
          <w:color w:val="808080" w:themeColor="background1" w:themeShade="80"/>
        </w:rPr>
        <w:t xml:space="preserve"> liable for its contents.  (For project preparatory technical assistance: </w:t>
      </w:r>
      <w:proofErr w:type="gramStart"/>
      <w:r w:rsidR="00634088" w:rsidRPr="008E1ACA">
        <w:rPr>
          <w:rFonts w:cs="Arial"/>
          <w:bCs/>
          <w:color w:val="808080" w:themeColor="background1" w:themeShade="80"/>
        </w:rPr>
        <w:t>All the views expressed herein may not</w:t>
      </w:r>
      <w:proofErr w:type="gramEnd"/>
      <w:r w:rsidR="00634088" w:rsidRPr="008E1ACA">
        <w:rPr>
          <w:rFonts w:cs="Arial"/>
          <w:bCs/>
          <w:color w:val="808080" w:themeColor="background1" w:themeShade="80"/>
        </w:rPr>
        <w:t xml:space="preserve"> be incorporated into the proposed project’s design</w:t>
      </w:r>
      <w:r w:rsidRPr="008E1ACA">
        <w:rPr>
          <w:rFonts w:cs="Arial"/>
          <w:bCs/>
          <w:color w:val="808080" w:themeColor="background1" w:themeShade="80"/>
        </w:rPr>
        <w:t>.</w:t>
      </w:r>
    </w:p>
    <w:p w14:paraId="36297A36" w14:textId="77777777" w:rsidR="00BB7E11" w:rsidRPr="008E1ACA" w:rsidRDefault="00BB7E11" w:rsidP="00634088">
      <w:pPr>
        <w:jc w:val="center"/>
        <w:rPr>
          <w:rFonts w:cs="Arial"/>
          <w:b/>
          <w:color w:val="808080" w:themeColor="background1" w:themeShade="80"/>
        </w:rPr>
      </w:pPr>
    </w:p>
    <w:p w14:paraId="2FA11511" w14:textId="77777777" w:rsidR="00280B9B" w:rsidRDefault="00280B9B" w:rsidP="00EF44B9">
      <w:pPr>
        <w:rPr>
          <w:rFonts w:cs="Arial"/>
          <w:b/>
        </w:rPr>
        <w:sectPr w:rsidR="00280B9B" w:rsidSect="00D84E07">
          <w:headerReference w:type="even" r:id="rId11"/>
          <w:headerReference w:type="default" r:id="rId12"/>
          <w:footerReference w:type="even" r:id="rId13"/>
          <w:footerReference w:type="default" r:id="rId14"/>
          <w:pgSz w:w="12240" w:h="15840"/>
          <w:pgMar w:top="1440" w:right="1440" w:bottom="1440" w:left="1440" w:header="720" w:footer="720" w:gutter="0"/>
          <w:pgNumType w:fmt="lowerRoman" w:start="1"/>
          <w:cols w:space="720"/>
          <w:titlePg/>
          <w:docGrid w:linePitch="360"/>
        </w:sectPr>
      </w:pPr>
    </w:p>
    <w:p w14:paraId="77F4886B" w14:textId="0BD6199B" w:rsidR="00147507" w:rsidRPr="00437A15" w:rsidRDefault="00715DD6" w:rsidP="008E1ACA">
      <w:pPr>
        <w:jc w:val="center"/>
        <w:rPr>
          <w:rFonts w:cs="Arial"/>
          <w:b/>
        </w:rPr>
      </w:pPr>
      <w:r w:rsidRPr="00437A15">
        <w:rPr>
          <w:rFonts w:cs="Arial"/>
          <w:b/>
        </w:rPr>
        <w:lastRenderedPageBreak/>
        <w:t>CURRENCY EQUIVALENTS</w:t>
      </w:r>
    </w:p>
    <w:p w14:paraId="3888E89B" w14:textId="204CC4AF" w:rsidR="00634088" w:rsidRPr="00F31727" w:rsidRDefault="00BB7E11" w:rsidP="00634088">
      <w:pPr>
        <w:jc w:val="center"/>
        <w:rPr>
          <w:rFonts w:cs="Arial"/>
        </w:rPr>
      </w:pPr>
      <w:r w:rsidRPr="00F31727">
        <w:rPr>
          <w:rFonts w:cs="Arial"/>
        </w:rPr>
        <w:t>(</w:t>
      </w:r>
      <w:proofErr w:type="gramStart"/>
      <w:r w:rsidRPr="00F31727">
        <w:rPr>
          <w:rFonts w:cs="Arial"/>
        </w:rPr>
        <w:t>as</w:t>
      </w:r>
      <w:proofErr w:type="gramEnd"/>
      <w:r w:rsidRPr="00F31727">
        <w:rPr>
          <w:rFonts w:cs="Arial"/>
        </w:rPr>
        <w:t xml:space="preserve"> of </w:t>
      </w:r>
      <w:r w:rsidR="0094354C">
        <w:rPr>
          <w:rFonts w:cs="Arial"/>
        </w:rPr>
        <w:t>December</w:t>
      </w:r>
      <w:r w:rsidR="00662C14">
        <w:rPr>
          <w:rFonts w:cs="Arial"/>
        </w:rPr>
        <w:t xml:space="preserve"> 2017</w:t>
      </w:r>
      <w:r w:rsidR="00634088" w:rsidRPr="00F31727">
        <w:rPr>
          <w:rFonts w:cs="Arial"/>
        </w:rPr>
        <w:t xml:space="preserve">)      </w:t>
      </w:r>
    </w:p>
    <w:p w14:paraId="4E145B65" w14:textId="77777777" w:rsidR="008E1ACA" w:rsidRPr="00A70755" w:rsidRDefault="008E1ACA" w:rsidP="00634088">
      <w:pPr>
        <w:jc w:val="center"/>
        <w:rPr>
          <w:rFonts w:cs="Arial"/>
        </w:rPr>
      </w:pPr>
    </w:p>
    <w:p w14:paraId="7750484A" w14:textId="4C7D969F" w:rsidR="00634088" w:rsidRPr="00A70755" w:rsidRDefault="00603912" w:rsidP="00603912">
      <w:pPr>
        <w:rPr>
          <w:rFonts w:cs="Arial"/>
        </w:rPr>
      </w:pPr>
      <w:r>
        <w:rPr>
          <w:rFonts w:cs="Arial"/>
        </w:rPr>
        <w:t xml:space="preserve">                                                        Currency Unit –   </w:t>
      </w:r>
      <w:r w:rsidR="009254B9">
        <w:rPr>
          <w:rFonts w:cs="Arial"/>
        </w:rPr>
        <w:t>Dram (AMD)</w:t>
      </w:r>
    </w:p>
    <w:p w14:paraId="5DF231BF" w14:textId="16215D89" w:rsidR="00634088" w:rsidRPr="00A70755" w:rsidRDefault="0062256A" w:rsidP="0062256A">
      <w:pPr>
        <w:rPr>
          <w:rFonts w:cs="Arial"/>
        </w:rPr>
      </w:pPr>
      <w:r>
        <w:rPr>
          <w:rFonts w:cs="Arial"/>
        </w:rPr>
        <w:t xml:space="preserve">                              </w:t>
      </w:r>
      <w:r w:rsidR="00BF755D">
        <w:rPr>
          <w:rFonts w:cs="Arial"/>
        </w:rPr>
        <w:t xml:space="preserve">  </w:t>
      </w:r>
      <w:r w:rsidR="00E74879">
        <w:rPr>
          <w:rFonts w:cs="Arial"/>
        </w:rPr>
        <w:t xml:space="preserve">                          </w:t>
      </w:r>
      <w:r w:rsidR="009254B9">
        <w:rPr>
          <w:rFonts w:cs="Arial"/>
        </w:rPr>
        <w:t>AMD</w:t>
      </w:r>
      <w:r>
        <w:rPr>
          <w:rFonts w:cs="Arial"/>
        </w:rPr>
        <w:t xml:space="preserve">1.00    </w:t>
      </w:r>
      <w:r w:rsidR="00634088" w:rsidRPr="00A70755">
        <w:rPr>
          <w:rFonts w:cs="Arial"/>
        </w:rPr>
        <w:t xml:space="preserve"> =</w:t>
      </w:r>
      <w:r>
        <w:rPr>
          <w:rFonts w:cs="Arial"/>
        </w:rPr>
        <w:t xml:space="preserve"> </w:t>
      </w:r>
      <w:r w:rsidR="00BF755D">
        <w:rPr>
          <w:rFonts w:cs="Arial"/>
        </w:rPr>
        <w:t xml:space="preserve">   0.00</w:t>
      </w:r>
      <w:r w:rsidR="0025699F">
        <w:rPr>
          <w:rFonts w:cs="Arial"/>
        </w:rPr>
        <w:t>2</w:t>
      </w:r>
      <w:r w:rsidR="00437A15" w:rsidRPr="00A70755">
        <w:rPr>
          <w:rFonts w:cs="Arial"/>
        </w:rPr>
        <w:t xml:space="preserve"> </w:t>
      </w:r>
      <w:r w:rsidR="00634088" w:rsidRPr="00A70755">
        <w:rPr>
          <w:rFonts w:cs="Arial"/>
        </w:rPr>
        <w:t>$</w:t>
      </w:r>
    </w:p>
    <w:p w14:paraId="2F6B57C3" w14:textId="528E9B1D" w:rsidR="00634088" w:rsidRPr="00A70755" w:rsidRDefault="0062256A" w:rsidP="00603912">
      <w:pPr>
        <w:rPr>
          <w:rFonts w:cs="Arial"/>
        </w:rPr>
      </w:pPr>
      <w:r>
        <w:rPr>
          <w:rFonts w:cs="Arial"/>
        </w:rPr>
        <w:t xml:space="preserve">                                                    </w:t>
      </w:r>
      <w:r w:rsidR="00525E54">
        <w:rPr>
          <w:rFonts w:cs="Arial"/>
        </w:rPr>
        <w:t xml:space="preserve">            $1.00    </w:t>
      </w:r>
      <w:r w:rsidR="00603912">
        <w:rPr>
          <w:rFonts w:cs="Arial"/>
        </w:rPr>
        <w:t xml:space="preserve"> =    </w:t>
      </w:r>
      <w:r w:rsidR="0025699F">
        <w:rPr>
          <w:rFonts w:cs="Arial"/>
        </w:rPr>
        <w:t>484</w:t>
      </w:r>
      <w:r w:rsidR="00BF755D">
        <w:rPr>
          <w:rFonts w:cs="Arial"/>
        </w:rPr>
        <w:t>.</w:t>
      </w:r>
      <w:r w:rsidR="0025699F">
        <w:rPr>
          <w:rFonts w:cs="Arial"/>
        </w:rPr>
        <w:t>1</w:t>
      </w:r>
      <w:r w:rsidR="00BF755D">
        <w:rPr>
          <w:rFonts w:cs="Arial"/>
        </w:rPr>
        <w:t xml:space="preserve">0 </w:t>
      </w:r>
      <w:r w:rsidR="009254B9">
        <w:rPr>
          <w:rFonts w:cs="Arial"/>
        </w:rPr>
        <w:t>AMD</w:t>
      </w:r>
      <w:r w:rsidR="00662C14">
        <w:rPr>
          <w:rFonts w:cs="Arial"/>
        </w:rPr>
        <w:t xml:space="preserve"> </w:t>
      </w:r>
    </w:p>
    <w:p w14:paraId="178F4DFD" w14:textId="77777777" w:rsidR="00634088" w:rsidRPr="00A70755" w:rsidRDefault="00634088" w:rsidP="00634088">
      <w:pPr>
        <w:jc w:val="center"/>
        <w:rPr>
          <w:rFonts w:cs="Arial"/>
        </w:rPr>
      </w:pPr>
    </w:p>
    <w:p w14:paraId="35BA3FBB" w14:textId="77777777" w:rsidR="00B72B39" w:rsidRPr="00A70755" w:rsidRDefault="00B72B39">
      <w:pPr>
        <w:rPr>
          <w:rFonts w:cs="Arial"/>
          <w:b/>
        </w:rPr>
      </w:pPr>
    </w:p>
    <w:p w14:paraId="62D68AEB" w14:textId="77777777" w:rsidR="0063643A" w:rsidRPr="00A70755" w:rsidRDefault="0063643A">
      <w:pPr>
        <w:rPr>
          <w:rFonts w:cs="Arial"/>
          <w:b/>
        </w:rPr>
      </w:pPr>
    </w:p>
    <w:p w14:paraId="1005785F" w14:textId="46E5149C" w:rsidR="00B72B39" w:rsidRPr="00A70755" w:rsidRDefault="00715DD6" w:rsidP="00634088">
      <w:pPr>
        <w:jc w:val="center"/>
        <w:rPr>
          <w:rFonts w:cs="Arial"/>
          <w:b/>
          <w:sz w:val="24"/>
          <w:szCs w:val="24"/>
        </w:rPr>
      </w:pPr>
      <w:r w:rsidRPr="00A70755">
        <w:rPr>
          <w:rFonts w:cs="Arial"/>
          <w:b/>
          <w:sz w:val="24"/>
          <w:szCs w:val="24"/>
        </w:rPr>
        <w:t>ABBREVIATIONS</w:t>
      </w:r>
    </w:p>
    <w:p w14:paraId="0A595D72" w14:textId="77777777" w:rsidR="00B72B39" w:rsidRPr="00A70755" w:rsidRDefault="00B72B39" w:rsidP="00B72B39">
      <w:pPr>
        <w:rPr>
          <w:rFonts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167"/>
        <w:gridCol w:w="5942"/>
      </w:tblGrid>
      <w:tr w:rsidR="00ED293E" w:rsidRPr="00A70755" w14:paraId="549C5B61" w14:textId="77777777" w:rsidTr="001C1E53">
        <w:trPr>
          <w:jc w:val="center"/>
        </w:trPr>
        <w:tc>
          <w:tcPr>
            <w:tcW w:w="1207" w:type="dxa"/>
          </w:tcPr>
          <w:p w14:paraId="054397BE" w14:textId="5E95A456" w:rsidR="00ED293E" w:rsidRPr="00A70755" w:rsidRDefault="00ED293E" w:rsidP="00ED293E">
            <w:pPr>
              <w:rPr>
                <w:rFonts w:cs="Arial"/>
                <w:b/>
              </w:rPr>
            </w:pPr>
            <w:r w:rsidRPr="00A70755">
              <w:rPr>
                <w:rFonts w:cs="Arial"/>
              </w:rPr>
              <w:t>ADB</w:t>
            </w:r>
          </w:p>
        </w:tc>
        <w:tc>
          <w:tcPr>
            <w:tcW w:w="1167" w:type="dxa"/>
          </w:tcPr>
          <w:p w14:paraId="0D2115E4" w14:textId="6E678BAC" w:rsidR="00ED293E" w:rsidRPr="00A70755" w:rsidRDefault="00ED293E" w:rsidP="00ED293E">
            <w:pPr>
              <w:jc w:val="center"/>
              <w:rPr>
                <w:rFonts w:cs="Arial"/>
                <w:b/>
              </w:rPr>
            </w:pPr>
            <w:r w:rsidRPr="00A70755">
              <w:t>–</w:t>
            </w:r>
          </w:p>
        </w:tc>
        <w:tc>
          <w:tcPr>
            <w:tcW w:w="5942" w:type="dxa"/>
          </w:tcPr>
          <w:p w14:paraId="49517257" w14:textId="60BE7B05" w:rsidR="00ED293E" w:rsidRPr="00A70755" w:rsidRDefault="00ED293E" w:rsidP="00ED293E">
            <w:pPr>
              <w:rPr>
                <w:rFonts w:cs="Arial"/>
                <w:b/>
              </w:rPr>
            </w:pPr>
            <w:r w:rsidRPr="00A70755">
              <w:rPr>
                <w:rFonts w:cs="Arial"/>
              </w:rPr>
              <w:t>Asian Development Bank</w:t>
            </w:r>
          </w:p>
        </w:tc>
      </w:tr>
      <w:tr w:rsidR="002973B7" w:rsidRPr="00A70755" w14:paraId="530CD181" w14:textId="77777777" w:rsidTr="001C1E53">
        <w:trPr>
          <w:jc w:val="center"/>
        </w:trPr>
        <w:tc>
          <w:tcPr>
            <w:tcW w:w="1207" w:type="dxa"/>
          </w:tcPr>
          <w:p w14:paraId="01D9E021" w14:textId="483A5961" w:rsidR="002973B7" w:rsidRPr="00A70755" w:rsidRDefault="002973B7" w:rsidP="00ED293E">
            <w:pPr>
              <w:rPr>
                <w:rFonts w:cs="Arial"/>
              </w:rPr>
            </w:pPr>
            <w:r>
              <w:rPr>
                <w:rFonts w:cs="Arial"/>
              </w:rPr>
              <w:t>AMD</w:t>
            </w:r>
          </w:p>
        </w:tc>
        <w:tc>
          <w:tcPr>
            <w:tcW w:w="1167" w:type="dxa"/>
          </w:tcPr>
          <w:p w14:paraId="1E77F642" w14:textId="4F9AE367" w:rsidR="002973B7" w:rsidRPr="00A70755" w:rsidRDefault="002973B7" w:rsidP="00ED293E">
            <w:pPr>
              <w:jc w:val="center"/>
            </w:pPr>
            <w:r>
              <w:t>-</w:t>
            </w:r>
          </w:p>
        </w:tc>
        <w:tc>
          <w:tcPr>
            <w:tcW w:w="5942" w:type="dxa"/>
          </w:tcPr>
          <w:p w14:paraId="7B2EF228" w14:textId="3EBD07F4" w:rsidR="002973B7" w:rsidRPr="00A70755" w:rsidRDefault="002973B7" w:rsidP="00ED293E">
            <w:pPr>
              <w:rPr>
                <w:rFonts w:cs="Arial"/>
              </w:rPr>
            </w:pPr>
            <w:r>
              <w:rPr>
                <w:rFonts w:cs="Arial"/>
              </w:rPr>
              <w:t>Armenia</w:t>
            </w:r>
            <w:r w:rsidR="00435205">
              <w:rPr>
                <w:rFonts w:cs="Arial"/>
              </w:rPr>
              <w:t>n Dram</w:t>
            </w:r>
          </w:p>
        </w:tc>
      </w:tr>
      <w:tr w:rsidR="00ED293E" w:rsidRPr="00A70755" w14:paraId="7F34E166" w14:textId="77777777" w:rsidTr="001C1E53">
        <w:trPr>
          <w:jc w:val="center"/>
        </w:trPr>
        <w:tc>
          <w:tcPr>
            <w:tcW w:w="1207" w:type="dxa"/>
          </w:tcPr>
          <w:p w14:paraId="0D6A8809" w14:textId="76A6226C" w:rsidR="00ED293E" w:rsidRPr="00A70755" w:rsidRDefault="00ED293E" w:rsidP="00ED293E">
            <w:pPr>
              <w:rPr>
                <w:rFonts w:cs="Arial"/>
                <w:b/>
              </w:rPr>
            </w:pPr>
            <w:r w:rsidRPr="00A70755">
              <w:rPr>
                <w:rFonts w:cs="Arial"/>
              </w:rPr>
              <w:t>ATM</w:t>
            </w:r>
          </w:p>
        </w:tc>
        <w:tc>
          <w:tcPr>
            <w:tcW w:w="1167" w:type="dxa"/>
          </w:tcPr>
          <w:p w14:paraId="4AF1750B" w14:textId="6EBDB4DD" w:rsidR="00ED293E" w:rsidRPr="00A70755" w:rsidRDefault="00ED293E" w:rsidP="00ED293E">
            <w:pPr>
              <w:jc w:val="center"/>
              <w:rPr>
                <w:rFonts w:cs="Arial"/>
                <w:b/>
              </w:rPr>
            </w:pPr>
            <w:r w:rsidRPr="00A70755">
              <w:t>–</w:t>
            </w:r>
          </w:p>
        </w:tc>
        <w:tc>
          <w:tcPr>
            <w:tcW w:w="5942" w:type="dxa"/>
          </w:tcPr>
          <w:p w14:paraId="2C24148B" w14:textId="2A84F92A" w:rsidR="00ED293E" w:rsidRPr="00A70755" w:rsidRDefault="00ED293E" w:rsidP="00ED293E">
            <w:pPr>
              <w:rPr>
                <w:rFonts w:cs="Arial"/>
                <w:b/>
              </w:rPr>
            </w:pPr>
            <w:r w:rsidRPr="00A70755">
              <w:rPr>
                <w:rFonts w:cs="Arial"/>
              </w:rPr>
              <w:t>Average Time to Maturity</w:t>
            </w:r>
          </w:p>
        </w:tc>
      </w:tr>
      <w:tr w:rsidR="00BF755D" w:rsidRPr="00A70755" w14:paraId="7907286A" w14:textId="77777777" w:rsidTr="001C1E53">
        <w:trPr>
          <w:jc w:val="center"/>
        </w:trPr>
        <w:tc>
          <w:tcPr>
            <w:tcW w:w="1207" w:type="dxa"/>
          </w:tcPr>
          <w:p w14:paraId="0A52C68E" w14:textId="3F498ED1" w:rsidR="00BF755D" w:rsidRPr="00A70755" w:rsidRDefault="00BF755D" w:rsidP="00ED293E">
            <w:pPr>
              <w:rPr>
                <w:rFonts w:cs="Arial"/>
              </w:rPr>
            </w:pPr>
            <w:r>
              <w:rPr>
                <w:rFonts w:cs="Arial"/>
              </w:rPr>
              <w:t>CB</w:t>
            </w:r>
            <w:r w:rsidR="002973B7">
              <w:rPr>
                <w:rFonts w:cs="Arial"/>
              </w:rPr>
              <w:t>A</w:t>
            </w:r>
          </w:p>
        </w:tc>
        <w:tc>
          <w:tcPr>
            <w:tcW w:w="1167" w:type="dxa"/>
          </w:tcPr>
          <w:p w14:paraId="2497E398" w14:textId="48B45473" w:rsidR="00BF755D" w:rsidRPr="00A70755" w:rsidRDefault="00DB20DE" w:rsidP="00ED293E">
            <w:pPr>
              <w:jc w:val="center"/>
            </w:pPr>
            <w:r w:rsidRPr="00A70755">
              <w:t>–</w:t>
            </w:r>
          </w:p>
        </w:tc>
        <w:tc>
          <w:tcPr>
            <w:tcW w:w="5942" w:type="dxa"/>
          </w:tcPr>
          <w:p w14:paraId="720305EC" w14:textId="6FC2A034" w:rsidR="00BF755D" w:rsidRPr="00A70755" w:rsidRDefault="00BF755D" w:rsidP="00ED293E">
            <w:pPr>
              <w:rPr>
                <w:rFonts w:cs="Arial"/>
              </w:rPr>
            </w:pPr>
            <w:r>
              <w:rPr>
                <w:rFonts w:cs="Arial"/>
              </w:rPr>
              <w:t xml:space="preserve">Central Bank of </w:t>
            </w:r>
            <w:r w:rsidR="002973B7">
              <w:rPr>
                <w:rFonts w:cs="Arial"/>
              </w:rPr>
              <w:t>Armenia</w:t>
            </w:r>
          </w:p>
        </w:tc>
      </w:tr>
      <w:tr w:rsidR="00BF755D" w:rsidRPr="00A70755" w14:paraId="66C4D3A4" w14:textId="77777777" w:rsidTr="001C1E53">
        <w:trPr>
          <w:jc w:val="center"/>
        </w:trPr>
        <w:tc>
          <w:tcPr>
            <w:tcW w:w="1207" w:type="dxa"/>
          </w:tcPr>
          <w:p w14:paraId="5E92DA66" w14:textId="33964DC6" w:rsidR="00BF755D" w:rsidRPr="00A70755" w:rsidRDefault="00BF755D" w:rsidP="00ED293E">
            <w:pPr>
              <w:rPr>
                <w:rFonts w:cs="Arial"/>
              </w:rPr>
            </w:pPr>
            <w:r>
              <w:rPr>
                <w:rFonts w:cs="Arial"/>
              </w:rPr>
              <w:t>DM</w:t>
            </w:r>
            <w:r w:rsidR="002973B7">
              <w:rPr>
                <w:rFonts w:cs="Arial"/>
              </w:rPr>
              <w:t>FAS</w:t>
            </w:r>
          </w:p>
        </w:tc>
        <w:tc>
          <w:tcPr>
            <w:tcW w:w="1167" w:type="dxa"/>
          </w:tcPr>
          <w:p w14:paraId="42D1538C" w14:textId="0767A47D" w:rsidR="00BF755D" w:rsidRPr="00A70755" w:rsidRDefault="00BF755D" w:rsidP="00ED293E">
            <w:pPr>
              <w:jc w:val="center"/>
            </w:pPr>
            <w:r w:rsidRPr="00A70755">
              <w:t>–</w:t>
            </w:r>
          </w:p>
        </w:tc>
        <w:tc>
          <w:tcPr>
            <w:tcW w:w="5942" w:type="dxa"/>
          </w:tcPr>
          <w:p w14:paraId="737EE930" w14:textId="5F99C34F" w:rsidR="00BF755D" w:rsidRPr="00A70755" w:rsidRDefault="00BF755D" w:rsidP="00ED293E">
            <w:pPr>
              <w:rPr>
                <w:rFonts w:cs="Arial"/>
              </w:rPr>
            </w:pPr>
            <w:r>
              <w:rPr>
                <w:rFonts w:cs="Arial"/>
              </w:rPr>
              <w:t xml:space="preserve">Debt Management </w:t>
            </w:r>
            <w:r w:rsidR="002973B7">
              <w:rPr>
                <w:rFonts w:cs="Arial"/>
              </w:rPr>
              <w:t>and Financial Accounting System</w:t>
            </w:r>
          </w:p>
        </w:tc>
      </w:tr>
      <w:tr w:rsidR="002973B7" w:rsidRPr="00A70755" w14:paraId="1F775A6D" w14:textId="77777777" w:rsidTr="001C1E53">
        <w:trPr>
          <w:jc w:val="center"/>
        </w:trPr>
        <w:tc>
          <w:tcPr>
            <w:tcW w:w="1207" w:type="dxa"/>
          </w:tcPr>
          <w:p w14:paraId="0B02582C" w14:textId="544FB21A" w:rsidR="002973B7" w:rsidRDefault="002973B7" w:rsidP="00ED293E">
            <w:pPr>
              <w:rPr>
                <w:rFonts w:cs="Arial"/>
              </w:rPr>
            </w:pPr>
            <w:r>
              <w:rPr>
                <w:rFonts w:cs="Arial"/>
              </w:rPr>
              <w:t>DMOSB</w:t>
            </w:r>
          </w:p>
        </w:tc>
        <w:tc>
          <w:tcPr>
            <w:tcW w:w="1167" w:type="dxa"/>
          </w:tcPr>
          <w:p w14:paraId="73FD35D2" w14:textId="10705F3F" w:rsidR="002973B7" w:rsidRPr="00A70755" w:rsidRDefault="002973B7" w:rsidP="00ED293E">
            <w:pPr>
              <w:jc w:val="center"/>
            </w:pPr>
            <w:r>
              <w:t>-</w:t>
            </w:r>
          </w:p>
        </w:tc>
        <w:tc>
          <w:tcPr>
            <w:tcW w:w="5942" w:type="dxa"/>
          </w:tcPr>
          <w:p w14:paraId="5406AF13" w14:textId="32E3B4B3" w:rsidR="002973B7" w:rsidRDefault="002973B7" w:rsidP="00ED293E">
            <w:pPr>
              <w:rPr>
                <w:rFonts w:cs="Arial"/>
              </w:rPr>
            </w:pPr>
            <w:r>
              <w:rPr>
                <w:rFonts w:cs="Arial"/>
              </w:rPr>
              <w:t>Department of Management of Obligations to the State Budget of RA</w:t>
            </w:r>
          </w:p>
        </w:tc>
      </w:tr>
      <w:tr w:rsidR="00DB20DE" w:rsidRPr="00A70755" w14:paraId="5D19A0B3" w14:textId="77777777" w:rsidTr="001C1E53">
        <w:trPr>
          <w:jc w:val="center"/>
        </w:trPr>
        <w:tc>
          <w:tcPr>
            <w:tcW w:w="1207" w:type="dxa"/>
          </w:tcPr>
          <w:p w14:paraId="0310EB35" w14:textId="21A6EB61" w:rsidR="00DB20DE" w:rsidRDefault="00DB20DE" w:rsidP="00ED293E">
            <w:pPr>
              <w:rPr>
                <w:rFonts w:cs="Arial"/>
              </w:rPr>
            </w:pPr>
            <w:r>
              <w:rPr>
                <w:rFonts w:cs="Arial"/>
              </w:rPr>
              <w:t>DSA</w:t>
            </w:r>
          </w:p>
        </w:tc>
        <w:tc>
          <w:tcPr>
            <w:tcW w:w="1167" w:type="dxa"/>
          </w:tcPr>
          <w:p w14:paraId="3B1C03BB" w14:textId="49188E87" w:rsidR="00DB20DE" w:rsidRPr="00A70755" w:rsidRDefault="00DB20DE" w:rsidP="00ED293E">
            <w:pPr>
              <w:jc w:val="center"/>
            </w:pPr>
            <w:r w:rsidRPr="00A70755">
              <w:t>–</w:t>
            </w:r>
          </w:p>
        </w:tc>
        <w:tc>
          <w:tcPr>
            <w:tcW w:w="5942" w:type="dxa"/>
          </w:tcPr>
          <w:p w14:paraId="3CC7EE9C" w14:textId="1BA09BCB" w:rsidR="00DB20DE" w:rsidRDefault="00DB20DE" w:rsidP="00ED293E">
            <w:pPr>
              <w:rPr>
                <w:rFonts w:cs="Arial"/>
              </w:rPr>
            </w:pPr>
            <w:r>
              <w:rPr>
                <w:rFonts w:cs="Arial"/>
              </w:rPr>
              <w:t>Debt Sustainability Analysis</w:t>
            </w:r>
          </w:p>
        </w:tc>
      </w:tr>
      <w:tr w:rsidR="00ED293E" w:rsidRPr="00A70755" w14:paraId="018F9798" w14:textId="77777777" w:rsidTr="001C1E53">
        <w:trPr>
          <w:jc w:val="center"/>
        </w:trPr>
        <w:tc>
          <w:tcPr>
            <w:tcW w:w="1207" w:type="dxa"/>
          </w:tcPr>
          <w:p w14:paraId="1EB37834" w14:textId="5D266F11" w:rsidR="00ED293E" w:rsidRPr="00A70755" w:rsidRDefault="00ED293E" w:rsidP="00ED293E">
            <w:pPr>
              <w:rPr>
                <w:rFonts w:cs="Arial"/>
              </w:rPr>
            </w:pPr>
            <w:r w:rsidRPr="00A70755">
              <w:rPr>
                <w:rFonts w:cs="Arial"/>
              </w:rPr>
              <w:t>GDP</w:t>
            </w:r>
          </w:p>
        </w:tc>
        <w:tc>
          <w:tcPr>
            <w:tcW w:w="1167" w:type="dxa"/>
          </w:tcPr>
          <w:p w14:paraId="661720B4" w14:textId="4FA9BC0C" w:rsidR="00ED293E" w:rsidRPr="00A70755" w:rsidRDefault="00ED293E" w:rsidP="00ED293E">
            <w:pPr>
              <w:jc w:val="center"/>
              <w:rPr>
                <w:rFonts w:cs="Arial"/>
                <w:b/>
              </w:rPr>
            </w:pPr>
            <w:r w:rsidRPr="00A70755">
              <w:t>–</w:t>
            </w:r>
          </w:p>
        </w:tc>
        <w:tc>
          <w:tcPr>
            <w:tcW w:w="5942" w:type="dxa"/>
          </w:tcPr>
          <w:p w14:paraId="204E93FA" w14:textId="33482EC1" w:rsidR="00ED293E" w:rsidRPr="00A70755" w:rsidRDefault="00ED293E" w:rsidP="00ED293E">
            <w:pPr>
              <w:rPr>
                <w:rFonts w:cs="Arial"/>
              </w:rPr>
            </w:pPr>
            <w:r w:rsidRPr="00A70755">
              <w:rPr>
                <w:rFonts w:cs="Arial"/>
              </w:rPr>
              <w:t>Gross Domestic Product</w:t>
            </w:r>
          </w:p>
        </w:tc>
      </w:tr>
      <w:tr w:rsidR="002973B7" w:rsidRPr="00A70755" w14:paraId="15FD0B98" w14:textId="77777777" w:rsidTr="001C1E53">
        <w:trPr>
          <w:jc w:val="center"/>
        </w:trPr>
        <w:tc>
          <w:tcPr>
            <w:tcW w:w="1207" w:type="dxa"/>
          </w:tcPr>
          <w:p w14:paraId="546D82DC" w14:textId="52924DF5" w:rsidR="002973B7" w:rsidRPr="00A70755" w:rsidRDefault="002973B7" w:rsidP="00ED293E">
            <w:pPr>
              <w:rPr>
                <w:rFonts w:cs="Arial"/>
              </w:rPr>
            </w:pPr>
            <w:r>
              <w:rPr>
                <w:rFonts w:cs="Arial"/>
              </w:rPr>
              <w:t>G-Sec</w:t>
            </w:r>
          </w:p>
        </w:tc>
        <w:tc>
          <w:tcPr>
            <w:tcW w:w="1167" w:type="dxa"/>
          </w:tcPr>
          <w:p w14:paraId="084212E2" w14:textId="2CB6A552" w:rsidR="002973B7" w:rsidRPr="00A70755" w:rsidRDefault="002973B7" w:rsidP="00ED293E">
            <w:pPr>
              <w:jc w:val="center"/>
            </w:pPr>
            <w:r>
              <w:t>-</w:t>
            </w:r>
          </w:p>
        </w:tc>
        <w:tc>
          <w:tcPr>
            <w:tcW w:w="5942" w:type="dxa"/>
          </w:tcPr>
          <w:p w14:paraId="69DB1D39" w14:textId="5F2B3C55" w:rsidR="002973B7" w:rsidRPr="00A70755" w:rsidRDefault="002973B7" w:rsidP="00ED293E">
            <w:pPr>
              <w:rPr>
                <w:rFonts w:cs="Arial"/>
              </w:rPr>
            </w:pPr>
            <w:r>
              <w:rPr>
                <w:rFonts w:cs="Arial"/>
              </w:rPr>
              <w:t>Government Securities</w:t>
            </w:r>
          </w:p>
        </w:tc>
      </w:tr>
      <w:tr w:rsidR="002973B7" w:rsidRPr="00A70755" w14:paraId="733CF1B6" w14:textId="77777777" w:rsidTr="001C1E53">
        <w:trPr>
          <w:jc w:val="center"/>
        </w:trPr>
        <w:tc>
          <w:tcPr>
            <w:tcW w:w="1207" w:type="dxa"/>
          </w:tcPr>
          <w:p w14:paraId="54EE0E34" w14:textId="604BAA7D" w:rsidR="002973B7" w:rsidRPr="00A70755" w:rsidRDefault="002973B7" w:rsidP="00ED293E">
            <w:pPr>
              <w:rPr>
                <w:rFonts w:cs="Arial"/>
              </w:rPr>
            </w:pPr>
            <w:r>
              <w:rPr>
                <w:rFonts w:cs="Arial"/>
              </w:rPr>
              <w:t>ICD</w:t>
            </w:r>
          </w:p>
        </w:tc>
        <w:tc>
          <w:tcPr>
            <w:tcW w:w="1167" w:type="dxa"/>
          </w:tcPr>
          <w:p w14:paraId="4BA3BB67" w14:textId="21B0089E" w:rsidR="002973B7" w:rsidRPr="00A70755" w:rsidRDefault="002973B7" w:rsidP="00ED293E">
            <w:pPr>
              <w:jc w:val="center"/>
            </w:pPr>
            <w:r>
              <w:t>-</w:t>
            </w:r>
          </w:p>
        </w:tc>
        <w:tc>
          <w:tcPr>
            <w:tcW w:w="5942" w:type="dxa"/>
          </w:tcPr>
          <w:p w14:paraId="63594871" w14:textId="09C36866" w:rsidR="002973B7" w:rsidRPr="00A70755" w:rsidRDefault="002973B7" w:rsidP="00ED293E">
            <w:pPr>
              <w:rPr>
                <w:rFonts w:cs="Arial"/>
              </w:rPr>
            </w:pPr>
            <w:r>
              <w:rPr>
                <w:rFonts w:cs="Arial"/>
              </w:rPr>
              <w:t>International Cooperation Department</w:t>
            </w:r>
          </w:p>
        </w:tc>
      </w:tr>
      <w:tr w:rsidR="00ED293E" w:rsidRPr="00A70755" w14:paraId="6BAA7D19" w14:textId="77777777" w:rsidTr="001C1E53">
        <w:trPr>
          <w:jc w:val="center"/>
        </w:trPr>
        <w:tc>
          <w:tcPr>
            <w:tcW w:w="1207" w:type="dxa"/>
          </w:tcPr>
          <w:p w14:paraId="03A71E9A" w14:textId="3E9E5FC2" w:rsidR="00ED293E" w:rsidRPr="00A70755" w:rsidRDefault="00ED293E" w:rsidP="00ED293E">
            <w:pPr>
              <w:rPr>
                <w:rFonts w:cs="Arial"/>
              </w:rPr>
            </w:pPr>
            <w:r w:rsidRPr="00A70755">
              <w:rPr>
                <w:rFonts w:cs="Arial"/>
              </w:rPr>
              <w:t>IMF</w:t>
            </w:r>
          </w:p>
        </w:tc>
        <w:tc>
          <w:tcPr>
            <w:tcW w:w="1167" w:type="dxa"/>
          </w:tcPr>
          <w:p w14:paraId="3D4DBAD5" w14:textId="6755A604" w:rsidR="00ED293E" w:rsidRPr="00A70755" w:rsidRDefault="00ED293E" w:rsidP="00ED293E">
            <w:pPr>
              <w:jc w:val="center"/>
              <w:rPr>
                <w:rFonts w:cs="Arial"/>
                <w:b/>
              </w:rPr>
            </w:pPr>
            <w:r w:rsidRPr="00A70755">
              <w:t>–</w:t>
            </w:r>
          </w:p>
        </w:tc>
        <w:tc>
          <w:tcPr>
            <w:tcW w:w="5942" w:type="dxa"/>
          </w:tcPr>
          <w:p w14:paraId="6A0562C1" w14:textId="40758213" w:rsidR="00ED293E" w:rsidRPr="00A70755" w:rsidRDefault="00ED293E" w:rsidP="00ED293E">
            <w:pPr>
              <w:rPr>
                <w:rFonts w:cs="Arial"/>
              </w:rPr>
            </w:pPr>
            <w:r w:rsidRPr="00A70755">
              <w:rPr>
                <w:rFonts w:cs="Arial"/>
              </w:rPr>
              <w:t>International Monetary Fund</w:t>
            </w:r>
          </w:p>
        </w:tc>
      </w:tr>
      <w:tr w:rsidR="0069373B" w:rsidRPr="00A70755" w14:paraId="05D413C2" w14:textId="77777777" w:rsidTr="00DB20DE">
        <w:trPr>
          <w:trHeight w:val="279"/>
          <w:jc w:val="center"/>
        </w:trPr>
        <w:tc>
          <w:tcPr>
            <w:tcW w:w="1207" w:type="dxa"/>
          </w:tcPr>
          <w:p w14:paraId="148B1C62" w14:textId="3406B80B" w:rsidR="0069373B" w:rsidRPr="00A70755" w:rsidRDefault="0069373B" w:rsidP="00ED293E">
            <w:pPr>
              <w:rPr>
                <w:rFonts w:cs="Arial"/>
              </w:rPr>
            </w:pPr>
            <w:r>
              <w:rPr>
                <w:rFonts w:cs="Arial"/>
              </w:rPr>
              <w:t>LMO</w:t>
            </w:r>
          </w:p>
        </w:tc>
        <w:tc>
          <w:tcPr>
            <w:tcW w:w="1167" w:type="dxa"/>
          </w:tcPr>
          <w:p w14:paraId="37CC9B4B" w14:textId="7EA01DAE" w:rsidR="0069373B" w:rsidRPr="00A70755" w:rsidRDefault="0069373B" w:rsidP="00ED293E">
            <w:pPr>
              <w:jc w:val="center"/>
            </w:pPr>
            <w:r w:rsidRPr="00A70755">
              <w:t>–</w:t>
            </w:r>
          </w:p>
        </w:tc>
        <w:tc>
          <w:tcPr>
            <w:tcW w:w="5942" w:type="dxa"/>
          </w:tcPr>
          <w:p w14:paraId="3F6E4EDC" w14:textId="00CF4B2D" w:rsidR="0069373B" w:rsidRPr="00A70755" w:rsidRDefault="0069373B" w:rsidP="00ED293E">
            <w:pPr>
              <w:rPr>
                <w:rFonts w:cs="Arial"/>
              </w:rPr>
            </w:pPr>
            <w:r>
              <w:rPr>
                <w:rFonts w:cs="Arial"/>
              </w:rPr>
              <w:t>Liability Management Operations</w:t>
            </w:r>
          </w:p>
        </w:tc>
      </w:tr>
      <w:tr w:rsidR="002973B7" w:rsidRPr="00A70755" w14:paraId="406AA4B1" w14:textId="77777777" w:rsidTr="001C1E53">
        <w:trPr>
          <w:jc w:val="center"/>
        </w:trPr>
        <w:tc>
          <w:tcPr>
            <w:tcW w:w="1207" w:type="dxa"/>
          </w:tcPr>
          <w:p w14:paraId="6F4345C6" w14:textId="4ADC22B3" w:rsidR="002973B7" w:rsidRDefault="002973B7" w:rsidP="00ED293E">
            <w:pPr>
              <w:rPr>
                <w:rFonts w:cs="Arial"/>
              </w:rPr>
            </w:pPr>
            <w:r>
              <w:rPr>
                <w:rFonts w:cs="Arial"/>
              </w:rPr>
              <w:t>PDMD</w:t>
            </w:r>
          </w:p>
        </w:tc>
        <w:tc>
          <w:tcPr>
            <w:tcW w:w="1167" w:type="dxa"/>
          </w:tcPr>
          <w:p w14:paraId="02D8BE56" w14:textId="2FCABF6E" w:rsidR="002973B7" w:rsidRPr="00A70755" w:rsidRDefault="002973B7" w:rsidP="00ED293E">
            <w:pPr>
              <w:jc w:val="center"/>
            </w:pPr>
            <w:r>
              <w:t>-</w:t>
            </w:r>
          </w:p>
        </w:tc>
        <w:tc>
          <w:tcPr>
            <w:tcW w:w="5942" w:type="dxa"/>
          </w:tcPr>
          <w:p w14:paraId="500A9107" w14:textId="1DF324AB" w:rsidR="002973B7" w:rsidRDefault="002973B7" w:rsidP="00ED293E">
            <w:pPr>
              <w:rPr>
                <w:rFonts w:cs="Arial"/>
              </w:rPr>
            </w:pPr>
            <w:r>
              <w:rPr>
                <w:rFonts w:cs="Arial"/>
              </w:rPr>
              <w:t>Public Debt Management Department</w:t>
            </w:r>
          </w:p>
        </w:tc>
      </w:tr>
      <w:tr w:rsidR="00ED293E" w:rsidRPr="00A70755" w14:paraId="4D38EC89" w14:textId="77777777" w:rsidTr="001C1E53">
        <w:trPr>
          <w:jc w:val="center"/>
        </w:trPr>
        <w:tc>
          <w:tcPr>
            <w:tcW w:w="1207" w:type="dxa"/>
          </w:tcPr>
          <w:p w14:paraId="5B15F4B4" w14:textId="03D4D2D7" w:rsidR="00ED293E" w:rsidRPr="00A70755" w:rsidRDefault="00BF755D" w:rsidP="00ED293E">
            <w:pPr>
              <w:rPr>
                <w:rFonts w:cs="Arial"/>
              </w:rPr>
            </w:pPr>
            <w:r>
              <w:rPr>
                <w:rFonts w:cs="Arial"/>
              </w:rPr>
              <w:t>M</w:t>
            </w:r>
            <w:r w:rsidR="002973B7">
              <w:rPr>
                <w:rFonts w:cs="Arial"/>
              </w:rPr>
              <w:t>o</w:t>
            </w:r>
            <w:r>
              <w:rPr>
                <w:rFonts w:cs="Arial"/>
              </w:rPr>
              <w:t>F</w:t>
            </w:r>
          </w:p>
        </w:tc>
        <w:tc>
          <w:tcPr>
            <w:tcW w:w="1167" w:type="dxa"/>
          </w:tcPr>
          <w:p w14:paraId="74597A86" w14:textId="2894AC7E" w:rsidR="00ED293E" w:rsidRPr="00A70755" w:rsidRDefault="00ED293E" w:rsidP="00ED293E">
            <w:pPr>
              <w:jc w:val="center"/>
              <w:rPr>
                <w:rFonts w:cs="Arial"/>
                <w:b/>
              </w:rPr>
            </w:pPr>
            <w:r w:rsidRPr="00A70755">
              <w:t>–</w:t>
            </w:r>
          </w:p>
        </w:tc>
        <w:tc>
          <w:tcPr>
            <w:tcW w:w="5942" w:type="dxa"/>
          </w:tcPr>
          <w:p w14:paraId="27BE5E6B" w14:textId="22E981D2" w:rsidR="00ED293E" w:rsidRPr="00A70755" w:rsidRDefault="00BF755D" w:rsidP="00ED293E">
            <w:pPr>
              <w:rPr>
                <w:rFonts w:cs="Arial"/>
              </w:rPr>
            </w:pPr>
            <w:r>
              <w:rPr>
                <w:rFonts w:cs="Arial"/>
              </w:rPr>
              <w:t>Ministry of Finance</w:t>
            </w:r>
          </w:p>
        </w:tc>
      </w:tr>
      <w:tr w:rsidR="0085757E" w:rsidRPr="00A70755" w14:paraId="2DDFB53B" w14:textId="77777777" w:rsidTr="001C1E53">
        <w:trPr>
          <w:jc w:val="center"/>
        </w:trPr>
        <w:tc>
          <w:tcPr>
            <w:tcW w:w="1207" w:type="dxa"/>
          </w:tcPr>
          <w:p w14:paraId="43297583" w14:textId="05228DBC" w:rsidR="0085757E" w:rsidRDefault="002973B7" w:rsidP="00ED293E">
            <w:pPr>
              <w:rPr>
                <w:rFonts w:cs="Arial"/>
              </w:rPr>
            </w:pPr>
            <w:r>
              <w:rPr>
                <w:rFonts w:cs="Arial"/>
              </w:rPr>
              <w:t>NASDAQ  OMX</w:t>
            </w:r>
          </w:p>
        </w:tc>
        <w:tc>
          <w:tcPr>
            <w:tcW w:w="1167" w:type="dxa"/>
          </w:tcPr>
          <w:p w14:paraId="288E008D" w14:textId="3D6B173A" w:rsidR="0085757E" w:rsidRPr="00A70755" w:rsidRDefault="0085757E" w:rsidP="00ED293E">
            <w:pPr>
              <w:jc w:val="center"/>
            </w:pPr>
            <w:r w:rsidRPr="00A70755">
              <w:t>–</w:t>
            </w:r>
          </w:p>
        </w:tc>
        <w:tc>
          <w:tcPr>
            <w:tcW w:w="5942" w:type="dxa"/>
          </w:tcPr>
          <w:p w14:paraId="6AB7F284" w14:textId="57BCF8BC" w:rsidR="0085757E" w:rsidRDefault="002973B7" w:rsidP="00ED293E">
            <w:pPr>
              <w:rPr>
                <w:rFonts w:cs="Arial"/>
              </w:rPr>
            </w:pPr>
            <w:r>
              <w:rPr>
                <w:rFonts w:cs="Arial"/>
              </w:rPr>
              <w:t>NASDAQ Stock Exchange Armenia</w:t>
            </w:r>
          </w:p>
        </w:tc>
      </w:tr>
      <w:tr w:rsidR="00ED293E" w:rsidRPr="00A70755" w14:paraId="67174AE6" w14:textId="77777777" w:rsidTr="001C1E53">
        <w:trPr>
          <w:jc w:val="center"/>
        </w:trPr>
        <w:tc>
          <w:tcPr>
            <w:tcW w:w="1207" w:type="dxa"/>
          </w:tcPr>
          <w:p w14:paraId="091068AE" w14:textId="007B3BF3" w:rsidR="00ED293E" w:rsidRPr="00A70755" w:rsidRDefault="00ED293E" w:rsidP="00ED293E">
            <w:pPr>
              <w:rPr>
                <w:rFonts w:cs="Arial"/>
              </w:rPr>
            </w:pPr>
            <w:r w:rsidRPr="00A70755">
              <w:rPr>
                <w:rFonts w:cs="Arial"/>
              </w:rPr>
              <w:t>MTDS</w:t>
            </w:r>
          </w:p>
        </w:tc>
        <w:tc>
          <w:tcPr>
            <w:tcW w:w="1167" w:type="dxa"/>
          </w:tcPr>
          <w:p w14:paraId="558C87F1" w14:textId="1E7ABB57" w:rsidR="00ED293E" w:rsidRPr="00A70755" w:rsidRDefault="00ED293E" w:rsidP="00ED293E">
            <w:pPr>
              <w:jc w:val="center"/>
              <w:rPr>
                <w:rFonts w:cs="Arial"/>
                <w:b/>
              </w:rPr>
            </w:pPr>
            <w:r w:rsidRPr="00A70755">
              <w:t>–</w:t>
            </w:r>
          </w:p>
        </w:tc>
        <w:tc>
          <w:tcPr>
            <w:tcW w:w="5942" w:type="dxa"/>
          </w:tcPr>
          <w:p w14:paraId="0B481341" w14:textId="2B4BAD7E" w:rsidR="00ED293E" w:rsidRPr="00A70755" w:rsidRDefault="0069373B" w:rsidP="00ED293E">
            <w:pPr>
              <w:rPr>
                <w:rFonts w:cs="Arial"/>
              </w:rPr>
            </w:pPr>
            <w:r>
              <w:rPr>
                <w:rFonts w:cs="Arial"/>
              </w:rPr>
              <w:t>Medium-</w:t>
            </w:r>
            <w:r w:rsidR="00ED293E" w:rsidRPr="00A70755">
              <w:rPr>
                <w:rFonts w:cs="Arial"/>
              </w:rPr>
              <w:t xml:space="preserve">Term Debt </w:t>
            </w:r>
            <w:r>
              <w:rPr>
                <w:rFonts w:cs="Arial"/>
              </w:rPr>
              <w:t xml:space="preserve">Management </w:t>
            </w:r>
            <w:r w:rsidR="00ED293E" w:rsidRPr="00A70755">
              <w:rPr>
                <w:rFonts w:cs="Arial"/>
              </w:rPr>
              <w:t>Strategy</w:t>
            </w:r>
          </w:p>
        </w:tc>
      </w:tr>
      <w:tr w:rsidR="00ED293E" w:rsidRPr="00A70755" w14:paraId="07760A70" w14:textId="77777777" w:rsidTr="001C1E53">
        <w:trPr>
          <w:jc w:val="center"/>
        </w:trPr>
        <w:tc>
          <w:tcPr>
            <w:tcW w:w="1207" w:type="dxa"/>
          </w:tcPr>
          <w:p w14:paraId="3370E5B2" w14:textId="67A98CAE" w:rsidR="00ED293E" w:rsidRPr="00A70755" w:rsidRDefault="00ED293E" w:rsidP="00ED293E">
            <w:pPr>
              <w:rPr>
                <w:rFonts w:cs="Arial"/>
              </w:rPr>
            </w:pPr>
            <w:r w:rsidRPr="00A70755">
              <w:rPr>
                <w:rFonts w:cs="Arial"/>
              </w:rPr>
              <w:t>TA</w:t>
            </w:r>
          </w:p>
        </w:tc>
        <w:tc>
          <w:tcPr>
            <w:tcW w:w="1167" w:type="dxa"/>
          </w:tcPr>
          <w:p w14:paraId="0D28A6DF" w14:textId="17ED51E0" w:rsidR="00ED293E" w:rsidRPr="00A70755" w:rsidRDefault="00ED293E" w:rsidP="00ED293E">
            <w:pPr>
              <w:jc w:val="center"/>
              <w:rPr>
                <w:rFonts w:cs="Arial"/>
                <w:b/>
              </w:rPr>
            </w:pPr>
            <w:r w:rsidRPr="00A70755">
              <w:t>–</w:t>
            </w:r>
          </w:p>
        </w:tc>
        <w:tc>
          <w:tcPr>
            <w:tcW w:w="5942" w:type="dxa"/>
          </w:tcPr>
          <w:p w14:paraId="6B967E3E" w14:textId="0C3D2C19" w:rsidR="00ED293E" w:rsidRPr="00A70755" w:rsidRDefault="00ED293E" w:rsidP="00ED293E">
            <w:pPr>
              <w:rPr>
                <w:rFonts w:cs="Arial"/>
              </w:rPr>
            </w:pPr>
            <w:r w:rsidRPr="00A70755">
              <w:rPr>
                <w:rFonts w:cs="Arial"/>
              </w:rPr>
              <w:t>Technical Assistance</w:t>
            </w:r>
          </w:p>
        </w:tc>
      </w:tr>
      <w:tr w:rsidR="00ED293E" w:rsidRPr="00A70755" w14:paraId="733871C1" w14:textId="77777777" w:rsidTr="001C1E53">
        <w:trPr>
          <w:jc w:val="center"/>
        </w:trPr>
        <w:tc>
          <w:tcPr>
            <w:tcW w:w="1207" w:type="dxa"/>
          </w:tcPr>
          <w:p w14:paraId="567B0C2E" w14:textId="3577FF8D" w:rsidR="00ED293E" w:rsidRPr="00A70755" w:rsidRDefault="00ED293E" w:rsidP="00ED293E">
            <w:pPr>
              <w:rPr>
                <w:rFonts w:cs="Arial"/>
              </w:rPr>
            </w:pPr>
            <w:r w:rsidRPr="00A70755">
              <w:rPr>
                <w:rFonts w:cs="Arial"/>
              </w:rPr>
              <w:t>TOR</w:t>
            </w:r>
          </w:p>
        </w:tc>
        <w:tc>
          <w:tcPr>
            <w:tcW w:w="1167" w:type="dxa"/>
          </w:tcPr>
          <w:p w14:paraId="498F21F8" w14:textId="066ABD78" w:rsidR="00ED293E" w:rsidRPr="00A70755" w:rsidRDefault="00ED293E" w:rsidP="00ED293E">
            <w:pPr>
              <w:jc w:val="center"/>
              <w:rPr>
                <w:rFonts w:cs="Arial"/>
                <w:b/>
              </w:rPr>
            </w:pPr>
            <w:r w:rsidRPr="00A70755">
              <w:t>–</w:t>
            </w:r>
          </w:p>
        </w:tc>
        <w:tc>
          <w:tcPr>
            <w:tcW w:w="5942" w:type="dxa"/>
          </w:tcPr>
          <w:p w14:paraId="1316F818" w14:textId="6C0FF51F" w:rsidR="00ED293E" w:rsidRPr="00A70755" w:rsidRDefault="00ED293E" w:rsidP="00ED293E">
            <w:pPr>
              <w:rPr>
                <w:rFonts w:cs="Arial"/>
              </w:rPr>
            </w:pPr>
            <w:r w:rsidRPr="00A70755">
              <w:rPr>
                <w:rFonts w:cs="Arial"/>
              </w:rPr>
              <w:t>Terms of Reference</w:t>
            </w:r>
          </w:p>
        </w:tc>
      </w:tr>
      <w:tr w:rsidR="00ED293E" w:rsidRPr="00A70755" w14:paraId="4EECE932" w14:textId="77777777" w:rsidTr="001C1E53">
        <w:trPr>
          <w:jc w:val="center"/>
        </w:trPr>
        <w:tc>
          <w:tcPr>
            <w:tcW w:w="1207" w:type="dxa"/>
          </w:tcPr>
          <w:p w14:paraId="5770EC6D" w14:textId="233372AF" w:rsidR="00ED293E" w:rsidRPr="00A70755" w:rsidRDefault="00ED293E" w:rsidP="00ED293E">
            <w:pPr>
              <w:rPr>
                <w:rFonts w:cs="Arial"/>
              </w:rPr>
            </w:pPr>
            <w:r w:rsidRPr="00A70755">
              <w:rPr>
                <w:rFonts w:cs="Arial"/>
              </w:rPr>
              <w:t xml:space="preserve">T-bills           </w:t>
            </w:r>
          </w:p>
        </w:tc>
        <w:tc>
          <w:tcPr>
            <w:tcW w:w="1167" w:type="dxa"/>
          </w:tcPr>
          <w:p w14:paraId="222B006B" w14:textId="47F355D2" w:rsidR="00ED293E" w:rsidRPr="00A70755" w:rsidRDefault="00ED293E" w:rsidP="00ED293E">
            <w:pPr>
              <w:jc w:val="center"/>
              <w:rPr>
                <w:rFonts w:cs="Arial"/>
                <w:b/>
              </w:rPr>
            </w:pPr>
            <w:r w:rsidRPr="00A70755">
              <w:t>–</w:t>
            </w:r>
          </w:p>
        </w:tc>
        <w:tc>
          <w:tcPr>
            <w:tcW w:w="5942" w:type="dxa"/>
          </w:tcPr>
          <w:p w14:paraId="66BBD525" w14:textId="3BAF1A3F" w:rsidR="00ED293E" w:rsidRPr="00A70755" w:rsidRDefault="00ED293E" w:rsidP="00ED293E">
            <w:pPr>
              <w:rPr>
                <w:rFonts w:cs="Arial"/>
              </w:rPr>
            </w:pPr>
            <w:r w:rsidRPr="00A70755">
              <w:rPr>
                <w:rFonts w:cs="Arial"/>
              </w:rPr>
              <w:t>Treasury Bills</w:t>
            </w:r>
          </w:p>
        </w:tc>
      </w:tr>
      <w:tr w:rsidR="00ED293E" w:rsidRPr="00A70755" w14:paraId="1134114E" w14:textId="77777777" w:rsidTr="001C1E53">
        <w:trPr>
          <w:jc w:val="center"/>
        </w:trPr>
        <w:tc>
          <w:tcPr>
            <w:tcW w:w="1207" w:type="dxa"/>
          </w:tcPr>
          <w:p w14:paraId="71BB0D8F" w14:textId="5CA07C03" w:rsidR="00ED293E" w:rsidRPr="00A70755" w:rsidRDefault="00ED293E" w:rsidP="00ED293E">
            <w:pPr>
              <w:rPr>
                <w:rFonts w:cs="Arial"/>
              </w:rPr>
            </w:pPr>
            <w:r w:rsidRPr="00A70755">
              <w:rPr>
                <w:rFonts w:cs="Arial"/>
              </w:rPr>
              <w:t xml:space="preserve">T-bonds       </w:t>
            </w:r>
          </w:p>
        </w:tc>
        <w:tc>
          <w:tcPr>
            <w:tcW w:w="1167" w:type="dxa"/>
          </w:tcPr>
          <w:p w14:paraId="30042475" w14:textId="5D304017" w:rsidR="00ED293E" w:rsidRPr="00A70755" w:rsidRDefault="00ED293E" w:rsidP="00ED293E">
            <w:pPr>
              <w:jc w:val="center"/>
              <w:rPr>
                <w:rFonts w:cs="Arial"/>
                <w:b/>
              </w:rPr>
            </w:pPr>
            <w:r w:rsidRPr="00A70755">
              <w:t>–</w:t>
            </w:r>
          </w:p>
        </w:tc>
        <w:tc>
          <w:tcPr>
            <w:tcW w:w="5942" w:type="dxa"/>
          </w:tcPr>
          <w:p w14:paraId="29F75992" w14:textId="4F1EE4DF" w:rsidR="00ED293E" w:rsidRPr="00A70755" w:rsidRDefault="00ED293E" w:rsidP="00ED293E">
            <w:pPr>
              <w:rPr>
                <w:rFonts w:cs="Arial"/>
              </w:rPr>
            </w:pPr>
            <w:r w:rsidRPr="00A70755">
              <w:rPr>
                <w:rFonts w:cs="Arial"/>
              </w:rPr>
              <w:t>Treasury Bonds</w:t>
            </w:r>
          </w:p>
        </w:tc>
      </w:tr>
      <w:tr w:rsidR="00ED293E" w:rsidRPr="00A70755" w14:paraId="20C8C867" w14:textId="77777777" w:rsidTr="001C1E53">
        <w:trPr>
          <w:jc w:val="center"/>
        </w:trPr>
        <w:tc>
          <w:tcPr>
            <w:tcW w:w="1207" w:type="dxa"/>
          </w:tcPr>
          <w:p w14:paraId="158899F5" w14:textId="285D0FE4" w:rsidR="00ED293E" w:rsidRPr="00A70755" w:rsidRDefault="00ED293E" w:rsidP="00ED293E">
            <w:pPr>
              <w:rPr>
                <w:rFonts w:cs="Arial"/>
              </w:rPr>
            </w:pPr>
          </w:p>
        </w:tc>
        <w:tc>
          <w:tcPr>
            <w:tcW w:w="1167" w:type="dxa"/>
          </w:tcPr>
          <w:p w14:paraId="3486FD75" w14:textId="13225D2C" w:rsidR="00ED293E" w:rsidRPr="00A70755" w:rsidRDefault="00ED293E" w:rsidP="00ED293E">
            <w:pPr>
              <w:jc w:val="center"/>
              <w:rPr>
                <w:rFonts w:cs="Arial"/>
                <w:b/>
              </w:rPr>
            </w:pPr>
          </w:p>
        </w:tc>
        <w:tc>
          <w:tcPr>
            <w:tcW w:w="5942" w:type="dxa"/>
          </w:tcPr>
          <w:p w14:paraId="39B646D9" w14:textId="3FA76033" w:rsidR="00ED293E" w:rsidRPr="00A70755" w:rsidRDefault="00ED293E" w:rsidP="00ED293E">
            <w:pPr>
              <w:rPr>
                <w:rFonts w:cs="Arial"/>
              </w:rPr>
            </w:pPr>
          </w:p>
        </w:tc>
      </w:tr>
    </w:tbl>
    <w:p w14:paraId="7705E954" w14:textId="77777777" w:rsidR="00634088" w:rsidRPr="00A70755" w:rsidRDefault="00634088" w:rsidP="0032254A">
      <w:pPr>
        <w:rPr>
          <w:rFonts w:cs="Arial"/>
        </w:rPr>
      </w:pPr>
    </w:p>
    <w:p w14:paraId="25B98157" w14:textId="77777777" w:rsidR="004F36E0" w:rsidRPr="00A70755" w:rsidRDefault="004F36E0" w:rsidP="0032254A">
      <w:pPr>
        <w:rPr>
          <w:rFonts w:cs="Arial"/>
        </w:rPr>
      </w:pPr>
    </w:p>
    <w:p w14:paraId="2A541015" w14:textId="77777777" w:rsidR="004F36E0" w:rsidRPr="00A70755" w:rsidRDefault="004F36E0" w:rsidP="001C1E53">
      <w:pPr>
        <w:jc w:val="center"/>
        <w:rPr>
          <w:rFonts w:cs="Arial"/>
          <w:b/>
          <w:sz w:val="24"/>
          <w:szCs w:val="24"/>
        </w:rPr>
      </w:pPr>
      <w:r w:rsidRPr="00A70755">
        <w:rPr>
          <w:rFonts w:cs="Arial"/>
          <w:b/>
          <w:sz w:val="24"/>
          <w:szCs w:val="24"/>
        </w:rPr>
        <w:t>NOTE</w:t>
      </w:r>
    </w:p>
    <w:p w14:paraId="75F9BA56" w14:textId="77777777" w:rsidR="004F36E0" w:rsidRPr="00A70755" w:rsidRDefault="004F36E0" w:rsidP="001C1E53">
      <w:pPr>
        <w:jc w:val="center"/>
        <w:rPr>
          <w:rFonts w:cs="Arial"/>
          <w:b/>
        </w:rPr>
      </w:pPr>
    </w:p>
    <w:p w14:paraId="086E64BD" w14:textId="600571DC" w:rsidR="004F36E0" w:rsidRPr="00A70755" w:rsidRDefault="00A9471F" w:rsidP="00A9471F">
      <w:pPr>
        <w:pStyle w:val="ListParagraph"/>
        <w:ind w:left="1350"/>
        <w:rPr>
          <w:rFonts w:cs="Arial"/>
        </w:rPr>
      </w:pPr>
      <w:r w:rsidRPr="00A70755">
        <w:rPr>
          <w:rFonts w:cs="Arial"/>
        </w:rPr>
        <w:t xml:space="preserve">                            </w:t>
      </w:r>
      <w:r w:rsidR="004F36E0" w:rsidRPr="00A70755">
        <w:rPr>
          <w:rFonts w:cs="Arial"/>
        </w:rPr>
        <w:t>In this report, $ refers to US Dollars</w:t>
      </w:r>
    </w:p>
    <w:p w14:paraId="58A3B9ED" w14:textId="77777777" w:rsidR="004F36E0" w:rsidRPr="00A70755" w:rsidRDefault="004F36E0" w:rsidP="0032254A">
      <w:pPr>
        <w:rPr>
          <w:rFonts w:cs="Arial"/>
        </w:rPr>
      </w:pPr>
    </w:p>
    <w:p w14:paraId="035DE65C" w14:textId="77777777" w:rsidR="00193AC9" w:rsidRPr="001803FA" w:rsidRDefault="00193AC9" w:rsidP="0032254A">
      <w:pPr>
        <w:rPr>
          <w:rFonts w:cs="Arial"/>
        </w:rPr>
      </w:pPr>
    </w:p>
    <w:p w14:paraId="4AFE27B6" w14:textId="154D1D62" w:rsidR="005A1594" w:rsidRDefault="005A1594" w:rsidP="0032254A">
      <w:pPr>
        <w:rPr>
          <w:rFonts w:cs="Arial"/>
        </w:rPr>
        <w:sectPr w:rsidR="005A1594" w:rsidSect="00D84E07">
          <w:headerReference w:type="first" r:id="rId15"/>
          <w:pgSz w:w="12240" w:h="15840"/>
          <w:pgMar w:top="1440" w:right="1440" w:bottom="1440" w:left="1440" w:header="720" w:footer="720" w:gutter="0"/>
          <w:pgNumType w:fmt="lowerRoman" w:start="1"/>
          <w:cols w:space="720"/>
          <w:titlePg/>
          <w:docGrid w:linePitch="360"/>
        </w:sectPr>
      </w:pPr>
    </w:p>
    <w:p w14:paraId="14C62F3E" w14:textId="39C78EDF" w:rsidR="00634088" w:rsidRDefault="00715DD6" w:rsidP="005A1594">
      <w:pPr>
        <w:jc w:val="center"/>
        <w:rPr>
          <w:rFonts w:cs="Arial"/>
          <w:b/>
          <w:sz w:val="24"/>
          <w:szCs w:val="24"/>
        </w:rPr>
      </w:pPr>
      <w:r w:rsidRPr="0059479C">
        <w:rPr>
          <w:rFonts w:cs="Arial"/>
          <w:b/>
          <w:sz w:val="24"/>
          <w:szCs w:val="24"/>
        </w:rPr>
        <w:lastRenderedPageBreak/>
        <w:t>CONTENTS</w:t>
      </w:r>
    </w:p>
    <w:p w14:paraId="6581B776" w14:textId="5F9279AF" w:rsidR="004D3946" w:rsidRDefault="004D3946" w:rsidP="004D3946">
      <w:pPr>
        <w:pStyle w:val="TOC1"/>
        <w:tabs>
          <w:tab w:val="clear" w:pos="8647"/>
          <w:tab w:val="right" w:leader="dot" w:pos="9360"/>
        </w:tabs>
        <w:rPr>
          <w:rFonts w:asciiTheme="minorHAnsi" w:eastAsiaTheme="minorEastAsia" w:hAnsiTheme="minorHAnsi" w:cstheme="minorBidi"/>
          <w:noProof/>
          <w:szCs w:val="22"/>
        </w:rPr>
      </w:pPr>
      <w:r>
        <w:rPr>
          <w:rFonts w:cs="Arial"/>
          <w:b/>
          <w:sz w:val="24"/>
        </w:rPr>
        <w:fldChar w:fldCharType="begin"/>
      </w:r>
      <w:r>
        <w:rPr>
          <w:rFonts w:cs="Arial"/>
          <w:b/>
          <w:sz w:val="24"/>
        </w:rPr>
        <w:instrText xml:space="preserve"> TOC \h \z \t "Topic_1,1,Topic_2,2,Topic_3,3" </w:instrText>
      </w:r>
      <w:r>
        <w:rPr>
          <w:rFonts w:cs="Arial"/>
          <w:b/>
          <w:sz w:val="24"/>
        </w:rPr>
        <w:fldChar w:fldCharType="separate"/>
      </w:r>
      <w:hyperlink w:anchor="_Toc506537576" w:history="1">
        <w:r w:rsidRPr="00B17091">
          <w:rPr>
            <w:rStyle w:val="Hyperlink"/>
            <w:noProof/>
          </w:rPr>
          <w:t>I.</w:t>
        </w:r>
        <w:r>
          <w:rPr>
            <w:rFonts w:asciiTheme="minorHAnsi" w:eastAsiaTheme="minorEastAsia" w:hAnsiTheme="minorHAnsi" w:cstheme="minorBidi"/>
            <w:noProof/>
            <w:szCs w:val="22"/>
          </w:rPr>
          <w:tab/>
        </w:r>
        <w:r w:rsidRPr="00B17091">
          <w:rPr>
            <w:rStyle w:val="Hyperlink"/>
            <w:noProof/>
          </w:rPr>
          <w:t>INTRODUCTION</w:t>
        </w:r>
        <w:r>
          <w:rPr>
            <w:noProof/>
            <w:webHidden/>
          </w:rPr>
          <w:tab/>
        </w:r>
        <w:r>
          <w:rPr>
            <w:noProof/>
            <w:webHidden/>
          </w:rPr>
          <w:fldChar w:fldCharType="begin"/>
        </w:r>
        <w:r>
          <w:rPr>
            <w:noProof/>
            <w:webHidden/>
          </w:rPr>
          <w:instrText xml:space="preserve"> PAGEREF _Toc506537576 \h </w:instrText>
        </w:r>
        <w:r>
          <w:rPr>
            <w:noProof/>
            <w:webHidden/>
          </w:rPr>
        </w:r>
        <w:r>
          <w:rPr>
            <w:noProof/>
            <w:webHidden/>
          </w:rPr>
          <w:fldChar w:fldCharType="separate"/>
        </w:r>
        <w:r w:rsidR="00335383">
          <w:rPr>
            <w:noProof/>
            <w:webHidden/>
          </w:rPr>
          <w:t>3</w:t>
        </w:r>
        <w:r>
          <w:rPr>
            <w:noProof/>
            <w:webHidden/>
          </w:rPr>
          <w:fldChar w:fldCharType="end"/>
        </w:r>
      </w:hyperlink>
    </w:p>
    <w:p w14:paraId="3C680BAB" w14:textId="1153263D" w:rsidR="004D3946" w:rsidRDefault="00690235">
      <w:pPr>
        <w:pStyle w:val="TOC2"/>
        <w:tabs>
          <w:tab w:val="left" w:pos="660"/>
          <w:tab w:val="right" w:leader="dot" w:pos="9350"/>
        </w:tabs>
        <w:rPr>
          <w:rFonts w:asciiTheme="minorHAnsi" w:hAnsiTheme="minorHAnsi" w:cstheme="minorBidi"/>
          <w:noProof/>
          <w:lang w:eastAsia="en-US"/>
        </w:rPr>
      </w:pPr>
      <w:hyperlink w:anchor="_Toc506537577" w:history="1">
        <w:r w:rsidR="004D3946" w:rsidRPr="00B17091">
          <w:rPr>
            <w:rStyle w:val="Hyperlink"/>
            <w:noProof/>
          </w:rPr>
          <w:t>A.</w:t>
        </w:r>
        <w:r w:rsidR="004D3946">
          <w:rPr>
            <w:rFonts w:asciiTheme="minorHAnsi" w:hAnsiTheme="minorHAnsi" w:cstheme="minorBidi"/>
            <w:noProof/>
            <w:lang w:eastAsia="en-US"/>
          </w:rPr>
          <w:tab/>
        </w:r>
        <w:r w:rsidR="004D3946" w:rsidRPr="00B17091">
          <w:rPr>
            <w:rStyle w:val="Hyperlink"/>
            <w:noProof/>
          </w:rPr>
          <w:t>Country Background</w:t>
        </w:r>
        <w:r w:rsidR="004D3946">
          <w:rPr>
            <w:noProof/>
            <w:webHidden/>
          </w:rPr>
          <w:tab/>
        </w:r>
        <w:r w:rsidR="004D3946">
          <w:rPr>
            <w:noProof/>
            <w:webHidden/>
          </w:rPr>
          <w:fldChar w:fldCharType="begin"/>
        </w:r>
        <w:r w:rsidR="004D3946">
          <w:rPr>
            <w:noProof/>
            <w:webHidden/>
          </w:rPr>
          <w:instrText xml:space="preserve"> PAGEREF _Toc506537577 \h </w:instrText>
        </w:r>
        <w:r w:rsidR="004D3946">
          <w:rPr>
            <w:noProof/>
            <w:webHidden/>
          </w:rPr>
        </w:r>
        <w:r w:rsidR="004D3946">
          <w:rPr>
            <w:noProof/>
            <w:webHidden/>
          </w:rPr>
          <w:fldChar w:fldCharType="separate"/>
        </w:r>
        <w:r w:rsidR="00335383">
          <w:rPr>
            <w:noProof/>
            <w:webHidden/>
          </w:rPr>
          <w:t>3</w:t>
        </w:r>
        <w:r w:rsidR="004D3946">
          <w:rPr>
            <w:noProof/>
            <w:webHidden/>
          </w:rPr>
          <w:fldChar w:fldCharType="end"/>
        </w:r>
      </w:hyperlink>
    </w:p>
    <w:p w14:paraId="7E9472AA" w14:textId="3DEEA8B5" w:rsidR="004D3946" w:rsidRDefault="00690235">
      <w:pPr>
        <w:pStyle w:val="TOC2"/>
        <w:tabs>
          <w:tab w:val="left" w:pos="660"/>
          <w:tab w:val="right" w:leader="dot" w:pos="9350"/>
        </w:tabs>
        <w:rPr>
          <w:rFonts w:asciiTheme="minorHAnsi" w:hAnsiTheme="minorHAnsi" w:cstheme="minorBidi"/>
          <w:noProof/>
          <w:lang w:eastAsia="en-US"/>
        </w:rPr>
      </w:pPr>
      <w:hyperlink w:anchor="_Toc506537578" w:history="1">
        <w:r w:rsidR="004D3946" w:rsidRPr="00B17091">
          <w:rPr>
            <w:rStyle w:val="Hyperlink"/>
            <w:noProof/>
          </w:rPr>
          <w:t>B.</w:t>
        </w:r>
        <w:r w:rsidR="004D3946">
          <w:rPr>
            <w:rFonts w:asciiTheme="minorHAnsi" w:hAnsiTheme="minorHAnsi" w:cstheme="minorBidi"/>
            <w:noProof/>
            <w:lang w:eastAsia="en-US"/>
          </w:rPr>
          <w:tab/>
        </w:r>
        <w:r w:rsidR="004D3946" w:rsidRPr="00B17091">
          <w:rPr>
            <w:rStyle w:val="Hyperlink"/>
            <w:noProof/>
          </w:rPr>
          <w:t>Public Debt</w:t>
        </w:r>
        <w:r w:rsidR="004D3946">
          <w:rPr>
            <w:noProof/>
            <w:webHidden/>
          </w:rPr>
          <w:tab/>
        </w:r>
        <w:r w:rsidR="004D3946">
          <w:rPr>
            <w:noProof/>
            <w:webHidden/>
          </w:rPr>
          <w:fldChar w:fldCharType="begin"/>
        </w:r>
        <w:r w:rsidR="004D3946">
          <w:rPr>
            <w:noProof/>
            <w:webHidden/>
          </w:rPr>
          <w:instrText xml:space="preserve"> PAGEREF _Toc506537578 \h </w:instrText>
        </w:r>
        <w:r w:rsidR="004D3946">
          <w:rPr>
            <w:noProof/>
            <w:webHidden/>
          </w:rPr>
        </w:r>
        <w:r w:rsidR="004D3946">
          <w:rPr>
            <w:noProof/>
            <w:webHidden/>
          </w:rPr>
          <w:fldChar w:fldCharType="separate"/>
        </w:r>
        <w:r w:rsidR="00335383">
          <w:rPr>
            <w:noProof/>
            <w:webHidden/>
          </w:rPr>
          <w:t>4</w:t>
        </w:r>
        <w:r w:rsidR="004D3946">
          <w:rPr>
            <w:noProof/>
            <w:webHidden/>
          </w:rPr>
          <w:fldChar w:fldCharType="end"/>
        </w:r>
      </w:hyperlink>
    </w:p>
    <w:p w14:paraId="1FFFD1E8" w14:textId="07CB0A97" w:rsidR="004D3946" w:rsidRDefault="00690235" w:rsidP="004D3946">
      <w:pPr>
        <w:pStyle w:val="TOC1"/>
        <w:tabs>
          <w:tab w:val="clear" w:pos="8647"/>
          <w:tab w:val="right" w:leader="dot" w:pos="9360"/>
        </w:tabs>
        <w:rPr>
          <w:rFonts w:asciiTheme="minorHAnsi" w:eastAsiaTheme="minorEastAsia" w:hAnsiTheme="minorHAnsi" w:cstheme="minorBidi"/>
          <w:noProof/>
          <w:szCs w:val="22"/>
        </w:rPr>
      </w:pPr>
      <w:hyperlink w:anchor="_Toc506537579" w:history="1">
        <w:r w:rsidR="004D3946" w:rsidRPr="00B17091">
          <w:rPr>
            <w:rStyle w:val="Hyperlink"/>
            <w:noProof/>
          </w:rPr>
          <w:t>II.</w:t>
        </w:r>
        <w:r w:rsidR="004D3946">
          <w:rPr>
            <w:rFonts w:asciiTheme="minorHAnsi" w:eastAsiaTheme="minorEastAsia" w:hAnsiTheme="minorHAnsi" w:cstheme="minorBidi"/>
            <w:noProof/>
            <w:szCs w:val="22"/>
          </w:rPr>
          <w:tab/>
        </w:r>
        <w:r w:rsidR="004D3946" w:rsidRPr="00B17091">
          <w:rPr>
            <w:rStyle w:val="Hyperlink"/>
            <w:noProof/>
          </w:rPr>
          <w:t>Technical Assistance</w:t>
        </w:r>
        <w:r w:rsidR="004D3946">
          <w:rPr>
            <w:noProof/>
            <w:webHidden/>
          </w:rPr>
          <w:tab/>
        </w:r>
        <w:r w:rsidR="004D3946">
          <w:rPr>
            <w:noProof/>
            <w:webHidden/>
          </w:rPr>
          <w:fldChar w:fldCharType="begin"/>
        </w:r>
        <w:r w:rsidR="004D3946">
          <w:rPr>
            <w:noProof/>
            <w:webHidden/>
          </w:rPr>
          <w:instrText xml:space="preserve"> PAGEREF _Toc506537579 \h </w:instrText>
        </w:r>
        <w:r w:rsidR="004D3946">
          <w:rPr>
            <w:noProof/>
            <w:webHidden/>
          </w:rPr>
        </w:r>
        <w:r w:rsidR="004D3946">
          <w:rPr>
            <w:noProof/>
            <w:webHidden/>
          </w:rPr>
          <w:fldChar w:fldCharType="separate"/>
        </w:r>
        <w:r w:rsidR="00335383">
          <w:rPr>
            <w:noProof/>
            <w:webHidden/>
          </w:rPr>
          <w:t>8</w:t>
        </w:r>
        <w:r w:rsidR="004D3946">
          <w:rPr>
            <w:noProof/>
            <w:webHidden/>
          </w:rPr>
          <w:fldChar w:fldCharType="end"/>
        </w:r>
      </w:hyperlink>
    </w:p>
    <w:p w14:paraId="3424655C" w14:textId="1361E660" w:rsidR="004D3946" w:rsidRDefault="00690235" w:rsidP="004D3946">
      <w:pPr>
        <w:pStyle w:val="TOC1"/>
        <w:tabs>
          <w:tab w:val="clear" w:pos="8647"/>
          <w:tab w:val="right" w:leader="dot" w:pos="9360"/>
        </w:tabs>
        <w:rPr>
          <w:rFonts w:asciiTheme="minorHAnsi" w:eastAsiaTheme="minorEastAsia" w:hAnsiTheme="minorHAnsi" w:cstheme="minorBidi"/>
          <w:noProof/>
          <w:szCs w:val="22"/>
        </w:rPr>
      </w:pPr>
      <w:hyperlink w:anchor="_Toc506537580" w:history="1">
        <w:r w:rsidR="004D3946" w:rsidRPr="00B17091">
          <w:rPr>
            <w:rStyle w:val="Hyperlink"/>
            <w:noProof/>
          </w:rPr>
          <w:t>III.</w:t>
        </w:r>
        <w:r w:rsidR="004D3946">
          <w:rPr>
            <w:rFonts w:asciiTheme="minorHAnsi" w:eastAsiaTheme="minorEastAsia" w:hAnsiTheme="minorHAnsi" w:cstheme="minorBidi"/>
            <w:noProof/>
            <w:szCs w:val="22"/>
          </w:rPr>
          <w:tab/>
        </w:r>
        <w:r w:rsidR="004D3946" w:rsidRPr="00B17091">
          <w:rPr>
            <w:rStyle w:val="Hyperlink"/>
            <w:noProof/>
          </w:rPr>
          <w:t>INITIAL FINDINGS</w:t>
        </w:r>
        <w:r w:rsidR="004D3946">
          <w:rPr>
            <w:noProof/>
            <w:webHidden/>
          </w:rPr>
          <w:tab/>
        </w:r>
        <w:r w:rsidR="004D3946">
          <w:rPr>
            <w:noProof/>
            <w:webHidden/>
          </w:rPr>
          <w:fldChar w:fldCharType="begin"/>
        </w:r>
        <w:r w:rsidR="004D3946">
          <w:rPr>
            <w:noProof/>
            <w:webHidden/>
          </w:rPr>
          <w:instrText xml:space="preserve"> PAGEREF _Toc506537580 \h </w:instrText>
        </w:r>
        <w:r w:rsidR="004D3946">
          <w:rPr>
            <w:noProof/>
            <w:webHidden/>
          </w:rPr>
        </w:r>
        <w:r w:rsidR="004D3946">
          <w:rPr>
            <w:noProof/>
            <w:webHidden/>
          </w:rPr>
          <w:fldChar w:fldCharType="separate"/>
        </w:r>
        <w:r w:rsidR="00335383">
          <w:rPr>
            <w:noProof/>
            <w:webHidden/>
          </w:rPr>
          <w:t>8</w:t>
        </w:r>
        <w:r w:rsidR="004D3946">
          <w:rPr>
            <w:noProof/>
            <w:webHidden/>
          </w:rPr>
          <w:fldChar w:fldCharType="end"/>
        </w:r>
      </w:hyperlink>
    </w:p>
    <w:p w14:paraId="7351371C" w14:textId="2DCFA819" w:rsidR="004D3946" w:rsidRDefault="00690235" w:rsidP="004D3946">
      <w:pPr>
        <w:pStyle w:val="TOC2"/>
        <w:tabs>
          <w:tab w:val="left" w:pos="660"/>
          <w:tab w:val="right" w:leader="dot" w:pos="9360"/>
        </w:tabs>
        <w:rPr>
          <w:rFonts w:asciiTheme="minorHAnsi" w:hAnsiTheme="minorHAnsi" w:cstheme="minorBidi"/>
          <w:noProof/>
          <w:lang w:eastAsia="en-US"/>
        </w:rPr>
      </w:pPr>
      <w:hyperlink w:anchor="_Toc506537581" w:history="1">
        <w:r w:rsidR="004D3946" w:rsidRPr="00B17091">
          <w:rPr>
            <w:rStyle w:val="Hyperlink"/>
            <w:noProof/>
          </w:rPr>
          <w:t>A.</w:t>
        </w:r>
        <w:r w:rsidR="004D3946">
          <w:rPr>
            <w:rFonts w:asciiTheme="minorHAnsi" w:hAnsiTheme="minorHAnsi" w:cstheme="minorBidi"/>
            <w:noProof/>
            <w:lang w:eastAsia="en-US"/>
          </w:rPr>
          <w:tab/>
        </w:r>
        <w:r w:rsidR="004D3946" w:rsidRPr="00B17091">
          <w:rPr>
            <w:rStyle w:val="Hyperlink"/>
            <w:noProof/>
          </w:rPr>
          <w:t>Debt Management Strategy and Risk Management</w:t>
        </w:r>
        <w:r w:rsidR="004D3946">
          <w:rPr>
            <w:noProof/>
            <w:webHidden/>
          </w:rPr>
          <w:tab/>
        </w:r>
        <w:r w:rsidR="004D3946">
          <w:rPr>
            <w:noProof/>
            <w:webHidden/>
          </w:rPr>
          <w:fldChar w:fldCharType="begin"/>
        </w:r>
        <w:r w:rsidR="004D3946">
          <w:rPr>
            <w:noProof/>
            <w:webHidden/>
          </w:rPr>
          <w:instrText xml:space="preserve"> PAGEREF _Toc506537581 \h </w:instrText>
        </w:r>
        <w:r w:rsidR="004D3946">
          <w:rPr>
            <w:noProof/>
            <w:webHidden/>
          </w:rPr>
        </w:r>
        <w:r w:rsidR="004D3946">
          <w:rPr>
            <w:noProof/>
            <w:webHidden/>
          </w:rPr>
          <w:fldChar w:fldCharType="separate"/>
        </w:r>
        <w:r w:rsidR="00335383">
          <w:rPr>
            <w:noProof/>
            <w:webHidden/>
          </w:rPr>
          <w:t>8</w:t>
        </w:r>
        <w:r w:rsidR="004D3946">
          <w:rPr>
            <w:noProof/>
            <w:webHidden/>
          </w:rPr>
          <w:fldChar w:fldCharType="end"/>
        </w:r>
      </w:hyperlink>
    </w:p>
    <w:p w14:paraId="0DBC3253" w14:textId="12709BE7" w:rsidR="004D3946" w:rsidRDefault="00690235" w:rsidP="004D3946">
      <w:pPr>
        <w:pStyle w:val="TOC3"/>
        <w:tabs>
          <w:tab w:val="right" w:leader="dot" w:pos="9360"/>
        </w:tabs>
        <w:rPr>
          <w:rFonts w:asciiTheme="minorHAnsi" w:hAnsiTheme="minorHAnsi" w:cstheme="minorBidi"/>
          <w:noProof/>
          <w:lang w:eastAsia="en-US"/>
        </w:rPr>
      </w:pPr>
      <w:hyperlink w:anchor="_Toc506537582" w:history="1">
        <w:r w:rsidR="004D3946" w:rsidRPr="00B17091">
          <w:rPr>
            <w:rStyle w:val="Hyperlink"/>
            <w:noProof/>
          </w:rPr>
          <w:t>Risk Exposure</w:t>
        </w:r>
        <w:r w:rsidR="004D3946">
          <w:rPr>
            <w:noProof/>
            <w:webHidden/>
          </w:rPr>
          <w:tab/>
        </w:r>
        <w:r w:rsidR="004D3946">
          <w:rPr>
            <w:noProof/>
            <w:webHidden/>
          </w:rPr>
          <w:fldChar w:fldCharType="begin"/>
        </w:r>
        <w:r w:rsidR="004D3946">
          <w:rPr>
            <w:noProof/>
            <w:webHidden/>
          </w:rPr>
          <w:instrText xml:space="preserve"> PAGEREF _Toc506537582 \h </w:instrText>
        </w:r>
        <w:r w:rsidR="004D3946">
          <w:rPr>
            <w:noProof/>
            <w:webHidden/>
          </w:rPr>
        </w:r>
        <w:r w:rsidR="004D3946">
          <w:rPr>
            <w:noProof/>
            <w:webHidden/>
          </w:rPr>
          <w:fldChar w:fldCharType="separate"/>
        </w:r>
        <w:r w:rsidR="00335383">
          <w:rPr>
            <w:noProof/>
            <w:webHidden/>
          </w:rPr>
          <w:t>8</w:t>
        </w:r>
        <w:r w:rsidR="004D3946">
          <w:rPr>
            <w:noProof/>
            <w:webHidden/>
          </w:rPr>
          <w:fldChar w:fldCharType="end"/>
        </w:r>
      </w:hyperlink>
    </w:p>
    <w:p w14:paraId="07E34517" w14:textId="0519B813" w:rsidR="004D3946" w:rsidRDefault="00690235" w:rsidP="004D3946">
      <w:pPr>
        <w:pStyle w:val="TOC3"/>
        <w:tabs>
          <w:tab w:val="right" w:leader="dot" w:pos="9360"/>
        </w:tabs>
        <w:rPr>
          <w:rFonts w:asciiTheme="minorHAnsi" w:hAnsiTheme="minorHAnsi" w:cstheme="minorBidi"/>
          <w:noProof/>
          <w:lang w:eastAsia="en-US"/>
        </w:rPr>
      </w:pPr>
      <w:hyperlink w:anchor="_Toc506537583" w:history="1">
        <w:r w:rsidR="004D3946" w:rsidRPr="00B17091">
          <w:rPr>
            <w:rStyle w:val="Hyperlink"/>
            <w:noProof/>
          </w:rPr>
          <w:t>Medium-term Debt Management Strategy</w:t>
        </w:r>
        <w:r w:rsidR="004D3946">
          <w:rPr>
            <w:noProof/>
            <w:webHidden/>
          </w:rPr>
          <w:tab/>
        </w:r>
        <w:r w:rsidR="004D3946">
          <w:rPr>
            <w:noProof/>
            <w:webHidden/>
          </w:rPr>
          <w:fldChar w:fldCharType="begin"/>
        </w:r>
        <w:r w:rsidR="004D3946">
          <w:rPr>
            <w:noProof/>
            <w:webHidden/>
          </w:rPr>
          <w:instrText xml:space="preserve"> PAGEREF _Toc506537583 \h </w:instrText>
        </w:r>
        <w:r w:rsidR="004D3946">
          <w:rPr>
            <w:noProof/>
            <w:webHidden/>
          </w:rPr>
        </w:r>
        <w:r w:rsidR="004D3946">
          <w:rPr>
            <w:noProof/>
            <w:webHidden/>
          </w:rPr>
          <w:fldChar w:fldCharType="separate"/>
        </w:r>
        <w:r w:rsidR="00335383">
          <w:rPr>
            <w:noProof/>
            <w:webHidden/>
          </w:rPr>
          <w:t>10</w:t>
        </w:r>
        <w:r w:rsidR="004D3946">
          <w:rPr>
            <w:noProof/>
            <w:webHidden/>
          </w:rPr>
          <w:fldChar w:fldCharType="end"/>
        </w:r>
      </w:hyperlink>
    </w:p>
    <w:p w14:paraId="34DE39E7" w14:textId="46B76B7F" w:rsidR="004D3946" w:rsidRDefault="00690235" w:rsidP="004D3946">
      <w:pPr>
        <w:pStyle w:val="TOC3"/>
        <w:tabs>
          <w:tab w:val="right" w:leader="dot" w:pos="9360"/>
        </w:tabs>
        <w:rPr>
          <w:rFonts w:asciiTheme="minorHAnsi" w:hAnsiTheme="minorHAnsi" w:cstheme="minorBidi"/>
          <w:noProof/>
          <w:lang w:eastAsia="en-US"/>
        </w:rPr>
      </w:pPr>
      <w:hyperlink w:anchor="_Toc506537584" w:history="1">
        <w:r w:rsidR="004D3946" w:rsidRPr="00B17091">
          <w:rPr>
            <w:rStyle w:val="Hyperlink"/>
            <w:noProof/>
          </w:rPr>
          <w:t>Strategic Issues</w:t>
        </w:r>
        <w:r w:rsidR="004D3946">
          <w:rPr>
            <w:noProof/>
            <w:webHidden/>
          </w:rPr>
          <w:tab/>
        </w:r>
        <w:r w:rsidR="004D3946">
          <w:rPr>
            <w:noProof/>
            <w:webHidden/>
          </w:rPr>
          <w:fldChar w:fldCharType="begin"/>
        </w:r>
        <w:r w:rsidR="004D3946">
          <w:rPr>
            <w:noProof/>
            <w:webHidden/>
          </w:rPr>
          <w:instrText xml:space="preserve"> PAGEREF _Toc506537584 \h </w:instrText>
        </w:r>
        <w:r w:rsidR="004D3946">
          <w:rPr>
            <w:noProof/>
            <w:webHidden/>
          </w:rPr>
        </w:r>
        <w:r w:rsidR="004D3946">
          <w:rPr>
            <w:noProof/>
            <w:webHidden/>
          </w:rPr>
          <w:fldChar w:fldCharType="separate"/>
        </w:r>
        <w:r w:rsidR="00335383">
          <w:rPr>
            <w:noProof/>
            <w:webHidden/>
          </w:rPr>
          <w:t>12</w:t>
        </w:r>
        <w:r w:rsidR="004D3946">
          <w:rPr>
            <w:noProof/>
            <w:webHidden/>
          </w:rPr>
          <w:fldChar w:fldCharType="end"/>
        </w:r>
      </w:hyperlink>
    </w:p>
    <w:p w14:paraId="4C6035BF" w14:textId="05A3C2A1" w:rsidR="004D3946" w:rsidRDefault="00690235" w:rsidP="004D3946">
      <w:pPr>
        <w:pStyle w:val="TOC2"/>
        <w:tabs>
          <w:tab w:val="left" w:pos="660"/>
          <w:tab w:val="right" w:leader="dot" w:pos="9360"/>
        </w:tabs>
        <w:rPr>
          <w:rFonts w:asciiTheme="minorHAnsi" w:hAnsiTheme="minorHAnsi" w:cstheme="minorBidi"/>
          <w:noProof/>
          <w:lang w:eastAsia="en-US"/>
        </w:rPr>
      </w:pPr>
      <w:hyperlink w:anchor="_Toc506537585" w:history="1">
        <w:r w:rsidR="004D3946" w:rsidRPr="00B17091">
          <w:rPr>
            <w:rStyle w:val="Hyperlink"/>
            <w:noProof/>
          </w:rPr>
          <w:t>B.</w:t>
        </w:r>
        <w:r w:rsidR="004D3946">
          <w:rPr>
            <w:rFonts w:asciiTheme="minorHAnsi" w:hAnsiTheme="minorHAnsi" w:cstheme="minorBidi"/>
            <w:noProof/>
            <w:lang w:eastAsia="en-US"/>
          </w:rPr>
          <w:tab/>
        </w:r>
        <w:r w:rsidR="004D3946" w:rsidRPr="00B17091">
          <w:rPr>
            <w:rStyle w:val="Hyperlink"/>
            <w:noProof/>
          </w:rPr>
          <w:t>Issuance Strategy and Domestic Government Securities Market</w:t>
        </w:r>
        <w:r w:rsidR="004D3946">
          <w:rPr>
            <w:noProof/>
            <w:webHidden/>
          </w:rPr>
          <w:tab/>
        </w:r>
        <w:r w:rsidR="004D3946">
          <w:rPr>
            <w:noProof/>
            <w:webHidden/>
          </w:rPr>
          <w:fldChar w:fldCharType="begin"/>
        </w:r>
        <w:r w:rsidR="004D3946">
          <w:rPr>
            <w:noProof/>
            <w:webHidden/>
          </w:rPr>
          <w:instrText xml:space="preserve"> PAGEREF _Toc506537585 \h </w:instrText>
        </w:r>
        <w:r w:rsidR="004D3946">
          <w:rPr>
            <w:noProof/>
            <w:webHidden/>
          </w:rPr>
        </w:r>
        <w:r w:rsidR="004D3946">
          <w:rPr>
            <w:noProof/>
            <w:webHidden/>
          </w:rPr>
          <w:fldChar w:fldCharType="separate"/>
        </w:r>
        <w:r w:rsidR="00335383">
          <w:rPr>
            <w:noProof/>
            <w:webHidden/>
          </w:rPr>
          <w:t>16</w:t>
        </w:r>
        <w:r w:rsidR="004D3946">
          <w:rPr>
            <w:noProof/>
            <w:webHidden/>
          </w:rPr>
          <w:fldChar w:fldCharType="end"/>
        </w:r>
      </w:hyperlink>
    </w:p>
    <w:p w14:paraId="21FAD0A2" w14:textId="766E45A5" w:rsidR="004D3946" w:rsidRDefault="00690235" w:rsidP="004D3946">
      <w:pPr>
        <w:pStyle w:val="TOC3"/>
        <w:tabs>
          <w:tab w:val="right" w:leader="dot" w:pos="9360"/>
        </w:tabs>
        <w:rPr>
          <w:rFonts w:asciiTheme="minorHAnsi" w:hAnsiTheme="minorHAnsi" w:cstheme="minorBidi"/>
          <w:noProof/>
          <w:lang w:eastAsia="en-US"/>
        </w:rPr>
      </w:pPr>
      <w:hyperlink w:anchor="_Toc506537586" w:history="1">
        <w:r w:rsidR="004D3946" w:rsidRPr="00B17091">
          <w:rPr>
            <w:rStyle w:val="Hyperlink"/>
            <w:noProof/>
          </w:rPr>
          <w:t>Placement Mechanism</w:t>
        </w:r>
        <w:r w:rsidR="004D3946">
          <w:rPr>
            <w:noProof/>
            <w:webHidden/>
          </w:rPr>
          <w:tab/>
        </w:r>
        <w:r w:rsidR="004D3946">
          <w:rPr>
            <w:noProof/>
            <w:webHidden/>
          </w:rPr>
          <w:fldChar w:fldCharType="begin"/>
        </w:r>
        <w:r w:rsidR="004D3946">
          <w:rPr>
            <w:noProof/>
            <w:webHidden/>
          </w:rPr>
          <w:instrText xml:space="preserve"> PAGEREF _Toc506537586 \h </w:instrText>
        </w:r>
        <w:r w:rsidR="004D3946">
          <w:rPr>
            <w:noProof/>
            <w:webHidden/>
          </w:rPr>
        </w:r>
        <w:r w:rsidR="004D3946">
          <w:rPr>
            <w:noProof/>
            <w:webHidden/>
          </w:rPr>
          <w:fldChar w:fldCharType="separate"/>
        </w:r>
        <w:r w:rsidR="00335383">
          <w:rPr>
            <w:noProof/>
            <w:webHidden/>
          </w:rPr>
          <w:t>16</w:t>
        </w:r>
        <w:r w:rsidR="004D3946">
          <w:rPr>
            <w:noProof/>
            <w:webHidden/>
          </w:rPr>
          <w:fldChar w:fldCharType="end"/>
        </w:r>
      </w:hyperlink>
    </w:p>
    <w:p w14:paraId="2E228E13" w14:textId="7F72BCC1" w:rsidR="004D3946" w:rsidRDefault="00690235" w:rsidP="004D3946">
      <w:pPr>
        <w:pStyle w:val="TOC3"/>
        <w:tabs>
          <w:tab w:val="right" w:leader="dot" w:pos="9360"/>
        </w:tabs>
        <w:rPr>
          <w:rFonts w:asciiTheme="minorHAnsi" w:hAnsiTheme="minorHAnsi" w:cstheme="minorBidi"/>
          <w:noProof/>
          <w:lang w:eastAsia="en-US"/>
        </w:rPr>
      </w:pPr>
      <w:hyperlink w:anchor="_Toc506537587" w:history="1">
        <w:r w:rsidR="004D3946" w:rsidRPr="00B17091">
          <w:rPr>
            <w:rStyle w:val="Hyperlink"/>
            <w:noProof/>
          </w:rPr>
          <w:t>Issuance Strategy</w:t>
        </w:r>
        <w:r w:rsidR="004D3946">
          <w:rPr>
            <w:noProof/>
            <w:webHidden/>
          </w:rPr>
          <w:tab/>
        </w:r>
        <w:r w:rsidR="004D3946">
          <w:rPr>
            <w:noProof/>
            <w:webHidden/>
          </w:rPr>
          <w:fldChar w:fldCharType="begin"/>
        </w:r>
        <w:r w:rsidR="004D3946">
          <w:rPr>
            <w:noProof/>
            <w:webHidden/>
          </w:rPr>
          <w:instrText xml:space="preserve"> PAGEREF _Toc506537587 \h </w:instrText>
        </w:r>
        <w:r w:rsidR="004D3946">
          <w:rPr>
            <w:noProof/>
            <w:webHidden/>
          </w:rPr>
        </w:r>
        <w:r w:rsidR="004D3946">
          <w:rPr>
            <w:noProof/>
            <w:webHidden/>
          </w:rPr>
          <w:fldChar w:fldCharType="separate"/>
        </w:r>
        <w:r w:rsidR="00335383">
          <w:rPr>
            <w:noProof/>
            <w:webHidden/>
          </w:rPr>
          <w:t>16</w:t>
        </w:r>
        <w:r w:rsidR="004D3946">
          <w:rPr>
            <w:noProof/>
            <w:webHidden/>
          </w:rPr>
          <w:fldChar w:fldCharType="end"/>
        </w:r>
      </w:hyperlink>
    </w:p>
    <w:p w14:paraId="7EB143B8" w14:textId="6FC03504" w:rsidR="004D3946" w:rsidRDefault="00690235" w:rsidP="004D3946">
      <w:pPr>
        <w:pStyle w:val="TOC3"/>
        <w:tabs>
          <w:tab w:val="right" w:leader="dot" w:pos="9360"/>
        </w:tabs>
        <w:rPr>
          <w:rFonts w:asciiTheme="minorHAnsi" w:hAnsiTheme="minorHAnsi" w:cstheme="minorBidi"/>
          <w:noProof/>
          <w:lang w:eastAsia="en-US"/>
        </w:rPr>
      </w:pPr>
      <w:hyperlink w:anchor="_Toc506537588" w:history="1">
        <w:r w:rsidR="004D3946" w:rsidRPr="00B17091">
          <w:rPr>
            <w:rStyle w:val="Hyperlink"/>
            <w:noProof/>
          </w:rPr>
          <w:t>Investor Diversification</w:t>
        </w:r>
        <w:r w:rsidR="004D3946">
          <w:rPr>
            <w:noProof/>
            <w:webHidden/>
          </w:rPr>
          <w:tab/>
        </w:r>
        <w:r w:rsidR="004D3946">
          <w:rPr>
            <w:noProof/>
            <w:webHidden/>
          </w:rPr>
          <w:fldChar w:fldCharType="begin"/>
        </w:r>
        <w:r w:rsidR="004D3946">
          <w:rPr>
            <w:noProof/>
            <w:webHidden/>
          </w:rPr>
          <w:instrText xml:space="preserve"> PAGEREF _Toc506537588 \h </w:instrText>
        </w:r>
        <w:r w:rsidR="004D3946">
          <w:rPr>
            <w:noProof/>
            <w:webHidden/>
          </w:rPr>
        </w:r>
        <w:r w:rsidR="004D3946">
          <w:rPr>
            <w:noProof/>
            <w:webHidden/>
          </w:rPr>
          <w:fldChar w:fldCharType="separate"/>
        </w:r>
        <w:r w:rsidR="00335383">
          <w:rPr>
            <w:noProof/>
            <w:webHidden/>
          </w:rPr>
          <w:t>18</w:t>
        </w:r>
        <w:r w:rsidR="004D3946">
          <w:rPr>
            <w:noProof/>
            <w:webHidden/>
          </w:rPr>
          <w:fldChar w:fldCharType="end"/>
        </w:r>
      </w:hyperlink>
    </w:p>
    <w:p w14:paraId="717FDB5C" w14:textId="3BBED2DD" w:rsidR="004D3946" w:rsidRDefault="00690235" w:rsidP="004D3946">
      <w:pPr>
        <w:pStyle w:val="TOC3"/>
        <w:tabs>
          <w:tab w:val="right" w:leader="dot" w:pos="9360"/>
        </w:tabs>
        <w:rPr>
          <w:rFonts w:asciiTheme="minorHAnsi" w:hAnsiTheme="minorHAnsi" w:cstheme="minorBidi"/>
          <w:noProof/>
          <w:lang w:eastAsia="en-US"/>
        </w:rPr>
      </w:pPr>
      <w:hyperlink w:anchor="_Toc506537589" w:history="1">
        <w:r w:rsidR="004D3946" w:rsidRPr="00B17091">
          <w:rPr>
            <w:rStyle w:val="Hyperlink"/>
            <w:noProof/>
          </w:rPr>
          <w:t>Enhancing Bond Liquidity</w:t>
        </w:r>
        <w:r w:rsidR="004D3946">
          <w:rPr>
            <w:noProof/>
            <w:webHidden/>
          </w:rPr>
          <w:tab/>
        </w:r>
        <w:r w:rsidR="004D3946">
          <w:rPr>
            <w:noProof/>
            <w:webHidden/>
          </w:rPr>
          <w:fldChar w:fldCharType="begin"/>
        </w:r>
        <w:r w:rsidR="004D3946">
          <w:rPr>
            <w:noProof/>
            <w:webHidden/>
          </w:rPr>
          <w:instrText xml:space="preserve"> PAGEREF _Toc506537589 \h </w:instrText>
        </w:r>
        <w:r w:rsidR="004D3946">
          <w:rPr>
            <w:noProof/>
            <w:webHidden/>
          </w:rPr>
        </w:r>
        <w:r w:rsidR="004D3946">
          <w:rPr>
            <w:noProof/>
            <w:webHidden/>
          </w:rPr>
          <w:fldChar w:fldCharType="separate"/>
        </w:r>
        <w:r w:rsidR="00335383">
          <w:rPr>
            <w:noProof/>
            <w:webHidden/>
          </w:rPr>
          <w:t>20</w:t>
        </w:r>
        <w:r w:rsidR="004D3946">
          <w:rPr>
            <w:noProof/>
            <w:webHidden/>
          </w:rPr>
          <w:fldChar w:fldCharType="end"/>
        </w:r>
      </w:hyperlink>
    </w:p>
    <w:p w14:paraId="510F3974" w14:textId="22AC3E3B" w:rsidR="004D3946" w:rsidRDefault="00690235" w:rsidP="004D3946">
      <w:pPr>
        <w:pStyle w:val="TOC3"/>
        <w:tabs>
          <w:tab w:val="right" w:leader="dot" w:pos="9360"/>
        </w:tabs>
        <w:rPr>
          <w:rFonts w:asciiTheme="minorHAnsi" w:hAnsiTheme="minorHAnsi" w:cstheme="minorBidi"/>
          <w:noProof/>
          <w:lang w:eastAsia="en-US"/>
        </w:rPr>
      </w:pPr>
      <w:hyperlink w:anchor="_Toc506537590" w:history="1">
        <w:r w:rsidR="004D3946" w:rsidRPr="00B17091">
          <w:rPr>
            <w:rStyle w:val="Hyperlink"/>
            <w:noProof/>
          </w:rPr>
          <w:t>De-dollarization and Development of the Local Currency Bond Market</w:t>
        </w:r>
        <w:r w:rsidR="004D3946">
          <w:rPr>
            <w:noProof/>
            <w:webHidden/>
          </w:rPr>
          <w:tab/>
        </w:r>
        <w:r w:rsidR="004D3946">
          <w:rPr>
            <w:noProof/>
            <w:webHidden/>
          </w:rPr>
          <w:fldChar w:fldCharType="begin"/>
        </w:r>
        <w:r w:rsidR="004D3946">
          <w:rPr>
            <w:noProof/>
            <w:webHidden/>
          </w:rPr>
          <w:instrText xml:space="preserve"> PAGEREF _Toc506537590 \h </w:instrText>
        </w:r>
        <w:r w:rsidR="004D3946">
          <w:rPr>
            <w:noProof/>
            <w:webHidden/>
          </w:rPr>
        </w:r>
        <w:r w:rsidR="004D3946">
          <w:rPr>
            <w:noProof/>
            <w:webHidden/>
          </w:rPr>
          <w:fldChar w:fldCharType="separate"/>
        </w:r>
        <w:r w:rsidR="00335383">
          <w:rPr>
            <w:noProof/>
            <w:webHidden/>
          </w:rPr>
          <w:t>23</w:t>
        </w:r>
        <w:r w:rsidR="004D3946">
          <w:rPr>
            <w:noProof/>
            <w:webHidden/>
          </w:rPr>
          <w:fldChar w:fldCharType="end"/>
        </w:r>
      </w:hyperlink>
    </w:p>
    <w:p w14:paraId="501BF9AC" w14:textId="44DC1E06" w:rsidR="004D3946" w:rsidRDefault="00690235" w:rsidP="004D3946">
      <w:pPr>
        <w:pStyle w:val="TOC3"/>
        <w:tabs>
          <w:tab w:val="right" w:leader="dot" w:pos="9360"/>
        </w:tabs>
        <w:rPr>
          <w:rFonts w:asciiTheme="minorHAnsi" w:hAnsiTheme="minorHAnsi" w:cstheme="minorBidi"/>
          <w:noProof/>
          <w:lang w:eastAsia="en-US"/>
        </w:rPr>
      </w:pPr>
      <w:hyperlink w:anchor="_Toc506537591" w:history="1">
        <w:r w:rsidR="004D3946" w:rsidRPr="00B17091">
          <w:rPr>
            <w:rStyle w:val="Hyperlink"/>
            <w:noProof/>
          </w:rPr>
          <w:t>Liability Management</w:t>
        </w:r>
        <w:r w:rsidR="004D3946">
          <w:rPr>
            <w:noProof/>
            <w:webHidden/>
          </w:rPr>
          <w:tab/>
        </w:r>
        <w:r w:rsidR="004D3946">
          <w:rPr>
            <w:noProof/>
            <w:webHidden/>
          </w:rPr>
          <w:fldChar w:fldCharType="begin"/>
        </w:r>
        <w:r w:rsidR="004D3946">
          <w:rPr>
            <w:noProof/>
            <w:webHidden/>
          </w:rPr>
          <w:instrText xml:space="preserve"> PAGEREF _Toc506537591 \h </w:instrText>
        </w:r>
        <w:r w:rsidR="004D3946">
          <w:rPr>
            <w:noProof/>
            <w:webHidden/>
          </w:rPr>
        </w:r>
        <w:r w:rsidR="004D3946">
          <w:rPr>
            <w:noProof/>
            <w:webHidden/>
          </w:rPr>
          <w:fldChar w:fldCharType="separate"/>
        </w:r>
        <w:r w:rsidR="00335383">
          <w:rPr>
            <w:noProof/>
            <w:webHidden/>
          </w:rPr>
          <w:t>24</w:t>
        </w:r>
        <w:r w:rsidR="004D3946">
          <w:rPr>
            <w:noProof/>
            <w:webHidden/>
          </w:rPr>
          <w:fldChar w:fldCharType="end"/>
        </w:r>
      </w:hyperlink>
    </w:p>
    <w:p w14:paraId="5C460FDA" w14:textId="4B7895AF" w:rsidR="004D3946" w:rsidRDefault="00690235" w:rsidP="004D3946">
      <w:pPr>
        <w:pStyle w:val="TOC2"/>
        <w:tabs>
          <w:tab w:val="left" w:pos="880"/>
          <w:tab w:val="right" w:leader="dot" w:pos="9360"/>
        </w:tabs>
        <w:rPr>
          <w:rFonts w:asciiTheme="minorHAnsi" w:hAnsiTheme="minorHAnsi" w:cstheme="minorBidi"/>
          <w:noProof/>
          <w:lang w:eastAsia="en-US"/>
        </w:rPr>
      </w:pPr>
      <w:hyperlink w:anchor="_Toc506537592" w:history="1">
        <w:r w:rsidR="004D3946" w:rsidRPr="00B17091">
          <w:rPr>
            <w:rStyle w:val="Hyperlink"/>
            <w:noProof/>
          </w:rPr>
          <w:t>C.</w:t>
        </w:r>
        <w:r w:rsidR="004D3946">
          <w:rPr>
            <w:rFonts w:asciiTheme="minorHAnsi" w:hAnsiTheme="minorHAnsi" w:cstheme="minorBidi"/>
            <w:noProof/>
            <w:lang w:eastAsia="en-US"/>
          </w:rPr>
          <w:tab/>
        </w:r>
        <w:r w:rsidR="004D3946" w:rsidRPr="00B17091">
          <w:rPr>
            <w:rStyle w:val="Hyperlink"/>
            <w:noProof/>
          </w:rPr>
          <w:t>Cash Management</w:t>
        </w:r>
        <w:r w:rsidR="004D3946">
          <w:rPr>
            <w:noProof/>
            <w:webHidden/>
          </w:rPr>
          <w:tab/>
        </w:r>
        <w:r w:rsidR="004D3946">
          <w:rPr>
            <w:noProof/>
            <w:webHidden/>
          </w:rPr>
          <w:fldChar w:fldCharType="begin"/>
        </w:r>
        <w:r w:rsidR="004D3946">
          <w:rPr>
            <w:noProof/>
            <w:webHidden/>
          </w:rPr>
          <w:instrText xml:space="preserve"> PAGEREF _Toc506537592 \h </w:instrText>
        </w:r>
        <w:r w:rsidR="004D3946">
          <w:rPr>
            <w:noProof/>
            <w:webHidden/>
          </w:rPr>
        </w:r>
        <w:r w:rsidR="004D3946">
          <w:rPr>
            <w:noProof/>
            <w:webHidden/>
          </w:rPr>
          <w:fldChar w:fldCharType="separate"/>
        </w:r>
        <w:r w:rsidR="00335383">
          <w:rPr>
            <w:noProof/>
            <w:webHidden/>
          </w:rPr>
          <w:t>25</w:t>
        </w:r>
        <w:r w:rsidR="004D3946">
          <w:rPr>
            <w:noProof/>
            <w:webHidden/>
          </w:rPr>
          <w:fldChar w:fldCharType="end"/>
        </w:r>
      </w:hyperlink>
    </w:p>
    <w:p w14:paraId="06DB0C45" w14:textId="6C133BAE" w:rsidR="004D3946" w:rsidRDefault="00690235" w:rsidP="004D3946">
      <w:pPr>
        <w:pStyle w:val="TOC2"/>
        <w:tabs>
          <w:tab w:val="left" w:pos="880"/>
          <w:tab w:val="right" w:leader="dot" w:pos="9360"/>
        </w:tabs>
        <w:rPr>
          <w:rFonts w:asciiTheme="minorHAnsi" w:hAnsiTheme="minorHAnsi" w:cstheme="minorBidi"/>
          <w:noProof/>
          <w:lang w:eastAsia="en-US"/>
        </w:rPr>
      </w:pPr>
      <w:hyperlink w:anchor="_Toc506537593" w:history="1">
        <w:r w:rsidR="004D3946" w:rsidRPr="00B17091">
          <w:rPr>
            <w:rStyle w:val="Hyperlink"/>
            <w:noProof/>
          </w:rPr>
          <w:t>D.</w:t>
        </w:r>
        <w:r w:rsidR="004D3946">
          <w:rPr>
            <w:rFonts w:asciiTheme="minorHAnsi" w:hAnsiTheme="minorHAnsi" w:cstheme="minorBidi"/>
            <w:noProof/>
            <w:lang w:eastAsia="en-US"/>
          </w:rPr>
          <w:tab/>
        </w:r>
        <w:r w:rsidR="004D3946" w:rsidRPr="00B17091">
          <w:rPr>
            <w:rStyle w:val="Hyperlink"/>
            <w:noProof/>
          </w:rPr>
          <w:t>Institutional Arrangements</w:t>
        </w:r>
        <w:r w:rsidR="004D3946">
          <w:rPr>
            <w:noProof/>
            <w:webHidden/>
          </w:rPr>
          <w:tab/>
        </w:r>
        <w:r w:rsidR="004D3946">
          <w:rPr>
            <w:noProof/>
            <w:webHidden/>
          </w:rPr>
          <w:fldChar w:fldCharType="begin"/>
        </w:r>
        <w:r w:rsidR="004D3946">
          <w:rPr>
            <w:noProof/>
            <w:webHidden/>
          </w:rPr>
          <w:instrText xml:space="preserve"> PAGEREF _Toc506537593 \h </w:instrText>
        </w:r>
        <w:r w:rsidR="004D3946">
          <w:rPr>
            <w:noProof/>
            <w:webHidden/>
          </w:rPr>
        </w:r>
        <w:r w:rsidR="004D3946">
          <w:rPr>
            <w:noProof/>
            <w:webHidden/>
          </w:rPr>
          <w:fldChar w:fldCharType="separate"/>
        </w:r>
        <w:r w:rsidR="00335383">
          <w:rPr>
            <w:noProof/>
            <w:webHidden/>
          </w:rPr>
          <w:t>26</w:t>
        </w:r>
        <w:r w:rsidR="004D3946">
          <w:rPr>
            <w:noProof/>
            <w:webHidden/>
          </w:rPr>
          <w:fldChar w:fldCharType="end"/>
        </w:r>
      </w:hyperlink>
    </w:p>
    <w:p w14:paraId="1C726007" w14:textId="38E56BA3" w:rsidR="004D3946" w:rsidRDefault="00690235" w:rsidP="004D3946">
      <w:pPr>
        <w:pStyle w:val="TOC2"/>
        <w:tabs>
          <w:tab w:val="left" w:pos="660"/>
          <w:tab w:val="right" w:leader="dot" w:pos="9360"/>
        </w:tabs>
        <w:rPr>
          <w:noProof/>
        </w:rPr>
      </w:pPr>
      <w:hyperlink w:anchor="_Toc506537594" w:history="1">
        <w:r w:rsidR="004D3946" w:rsidRPr="00B17091">
          <w:rPr>
            <w:rStyle w:val="Hyperlink"/>
            <w:noProof/>
          </w:rPr>
          <w:t>E.</w:t>
        </w:r>
        <w:r w:rsidR="004D3946">
          <w:rPr>
            <w:rFonts w:asciiTheme="minorHAnsi" w:hAnsiTheme="minorHAnsi" w:cstheme="minorBidi"/>
            <w:noProof/>
            <w:lang w:eastAsia="en-US"/>
          </w:rPr>
          <w:tab/>
        </w:r>
        <w:r w:rsidR="004D3946" w:rsidRPr="00B17091">
          <w:rPr>
            <w:rStyle w:val="Hyperlink"/>
            <w:noProof/>
          </w:rPr>
          <w:t>Operational Risk Management</w:t>
        </w:r>
        <w:r w:rsidR="004D3946">
          <w:rPr>
            <w:noProof/>
            <w:webHidden/>
          </w:rPr>
          <w:tab/>
        </w:r>
        <w:r w:rsidR="004D3946">
          <w:rPr>
            <w:noProof/>
            <w:webHidden/>
          </w:rPr>
          <w:fldChar w:fldCharType="begin"/>
        </w:r>
        <w:r w:rsidR="004D3946">
          <w:rPr>
            <w:noProof/>
            <w:webHidden/>
          </w:rPr>
          <w:instrText xml:space="preserve"> PAGEREF _Toc506537594 \h </w:instrText>
        </w:r>
        <w:r w:rsidR="004D3946">
          <w:rPr>
            <w:noProof/>
            <w:webHidden/>
          </w:rPr>
        </w:r>
        <w:r w:rsidR="004D3946">
          <w:rPr>
            <w:noProof/>
            <w:webHidden/>
          </w:rPr>
          <w:fldChar w:fldCharType="separate"/>
        </w:r>
        <w:r w:rsidR="00335383">
          <w:rPr>
            <w:noProof/>
            <w:webHidden/>
          </w:rPr>
          <w:t>28</w:t>
        </w:r>
        <w:r w:rsidR="004D3946">
          <w:rPr>
            <w:noProof/>
            <w:webHidden/>
          </w:rPr>
          <w:fldChar w:fldCharType="end"/>
        </w:r>
      </w:hyperlink>
    </w:p>
    <w:p w14:paraId="3376C3AD" w14:textId="0C8F9A7E" w:rsidR="00467A44" w:rsidRPr="009C00DC" w:rsidRDefault="00467A44" w:rsidP="009C00DC">
      <w:r>
        <w:t>IV.</w:t>
      </w:r>
      <w:r>
        <w:tab/>
        <w:t xml:space="preserve">EUROBOND </w:t>
      </w:r>
      <w:r w:rsidR="00191D6D">
        <w:t xml:space="preserve">RELATED </w:t>
      </w:r>
      <w:r>
        <w:t>REDEMPTION CHALLENGES………………………………….</w:t>
      </w:r>
      <w:r w:rsidR="00191D6D">
        <w:t>22</w:t>
      </w:r>
    </w:p>
    <w:p w14:paraId="6ADA9F6B" w14:textId="545F1592" w:rsidR="004D3946" w:rsidRDefault="00690235" w:rsidP="004D3946">
      <w:pPr>
        <w:pStyle w:val="TOC1"/>
        <w:tabs>
          <w:tab w:val="clear" w:pos="8647"/>
          <w:tab w:val="right" w:leader="dot" w:pos="9360"/>
        </w:tabs>
        <w:rPr>
          <w:rFonts w:asciiTheme="minorHAnsi" w:eastAsiaTheme="minorEastAsia" w:hAnsiTheme="minorHAnsi" w:cstheme="minorBidi"/>
          <w:noProof/>
          <w:szCs w:val="22"/>
        </w:rPr>
      </w:pPr>
      <w:hyperlink w:anchor="_Toc506537595" w:history="1">
        <w:r w:rsidR="004D3946" w:rsidRPr="00B17091">
          <w:rPr>
            <w:rStyle w:val="Hyperlink"/>
            <w:noProof/>
          </w:rPr>
          <w:t>IV.</w:t>
        </w:r>
        <w:r w:rsidR="004D3946">
          <w:rPr>
            <w:rFonts w:asciiTheme="minorHAnsi" w:eastAsiaTheme="minorEastAsia" w:hAnsiTheme="minorHAnsi" w:cstheme="minorBidi"/>
            <w:noProof/>
            <w:szCs w:val="22"/>
          </w:rPr>
          <w:tab/>
        </w:r>
        <w:r w:rsidR="004D3946" w:rsidRPr="00B17091">
          <w:rPr>
            <w:rStyle w:val="Hyperlink"/>
            <w:noProof/>
          </w:rPr>
          <w:t>APPROACH TO TA AND IMPLEMENTATION</w:t>
        </w:r>
        <w:r w:rsidR="004D3946">
          <w:rPr>
            <w:noProof/>
            <w:webHidden/>
          </w:rPr>
          <w:tab/>
        </w:r>
        <w:r w:rsidR="004D3946">
          <w:rPr>
            <w:noProof/>
            <w:webHidden/>
          </w:rPr>
          <w:fldChar w:fldCharType="begin"/>
        </w:r>
        <w:r w:rsidR="004D3946">
          <w:rPr>
            <w:noProof/>
            <w:webHidden/>
          </w:rPr>
          <w:instrText xml:space="preserve"> PAGEREF _Toc506537595 \h </w:instrText>
        </w:r>
        <w:r w:rsidR="004D3946">
          <w:rPr>
            <w:noProof/>
            <w:webHidden/>
          </w:rPr>
        </w:r>
        <w:r w:rsidR="004D3946">
          <w:rPr>
            <w:noProof/>
            <w:webHidden/>
          </w:rPr>
          <w:fldChar w:fldCharType="separate"/>
        </w:r>
        <w:r w:rsidR="00335383">
          <w:rPr>
            <w:noProof/>
            <w:webHidden/>
          </w:rPr>
          <w:t>29</w:t>
        </w:r>
        <w:r w:rsidR="004D3946">
          <w:rPr>
            <w:noProof/>
            <w:webHidden/>
          </w:rPr>
          <w:fldChar w:fldCharType="end"/>
        </w:r>
      </w:hyperlink>
    </w:p>
    <w:p w14:paraId="6022B285" w14:textId="5ECB5535" w:rsidR="004D3946" w:rsidRDefault="00690235" w:rsidP="004D3946">
      <w:pPr>
        <w:pStyle w:val="TOC1"/>
        <w:tabs>
          <w:tab w:val="clear" w:pos="8647"/>
          <w:tab w:val="right" w:leader="dot" w:pos="9360"/>
        </w:tabs>
        <w:rPr>
          <w:rFonts w:asciiTheme="minorHAnsi" w:eastAsiaTheme="minorEastAsia" w:hAnsiTheme="minorHAnsi" w:cstheme="minorBidi"/>
          <w:noProof/>
          <w:szCs w:val="22"/>
        </w:rPr>
      </w:pPr>
      <w:hyperlink w:anchor="_Toc506537596" w:history="1">
        <w:r w:rsidR="004D3946" w:rsidRPr="00B17091">
          <w:rPr>
            <w:rStyle w:val="Hyperlink"/>
            <w:noProof/>
          </w:rPr>
          <w:t>V.</w:t>
        </w:r>
        <w:r w:rsidR="004D3946">
          <w:rPr>
            <w:rFonts w:asciiTheme="minorHAnsi" w:eastAsiaTheme="minorEastAsia" w:hAnsiTheme="minorHAnsi" w:cstheme="minorBidi"/>
            <w:noProof/>
            <w:szCs w:val="22"/>
          </w:rPr>
          <w:tab/>
        </w:r>
        <w:r w:rsidR="004D3946" w:rsidRPr="00B17091">
          <w:rPr>
            <w:rStyle w:val="Hyperlink"/>
            <w:noProof/>
          </w:rPr>
          <w:t>OUTPUTS</w:t>
        </w:r>
        <w:r w:rsidR="004D3946">
          <w:rPr>
            <w:noProof/>
            <w:webHidden/>
          </w:rPr>
          <w:tab/>
        </w:r>
        <w:r w:rsidR="004D3946">
          <w:rPr>
            <w:noProof/>
            <w:webHidden/>
          </w:rPr>
          <w:fldChar w:fldCharType="begin"/>
        </w:r>
        <w:r w:rsidR="004D3946">
          <w:rPr>
            <w:noProof/>
            <w:webHidden/>
          </w:rPr>
          <w:instrText xml:space="preserve"> PAGEREF _Toc506537596 \h </w:instrText>
        </w:r>
        <w:r w:rsidR="004D3946">
          <w:rPr>
            <w:noProof/>
            <w:webHidden/>
          </w:rPr>
        </w:r>
        <w:r w:rsidR="004D3946">
          <w:rPr>
            <w:noProof/>
            <w:webHidden/>
          </w:rPr>
          <w:fldChar w:fldCharType="separate"/>
        </w:r>
        <w:r w:rsidR="00335383">
          <w:rPr>
            <w:noProof/>
            <w:webHidden/>
          </w:rPr>
          <w:t>3</w:t>
        </w:r>
        <w:r w:rsidR="004D3946">
          <w:rPr>
            <w:noProof/>
            <w:webHidden/>
          </w:rPr>
          <w:fldChar w:fldCharType="end"/>
        </w:r>
      </w:hyperlink>
    </w:p>
    <w:p w14:paraId="2E2792D3" w14:textId="3990C3EC" w:rsidR="004D3946" w:rsidRDefault="00690235" w:rsidP="004D3946">
      <w:pPr>
        <w:pStyle w:val="TOC1"/>
        <w:tabs>
          <w:tab w:val="clear" w:pos="8647"/>
          <w:tab w:val="right" w:leader="dot" w:pos="9360"/>
        </w:tabs>
        <w:rPr>
          <w:rFonts w:asciiTheme="minorHAnsi" w:eastAsiaTheme="minorEastAsia" w:hAnsiTheme="minorHAnsi" w:cstheme="minorBidi"/>
          <w:noProof/>
          <w:szCs w:val="22"/>
        </w:rPr>
      </w:pPr>
      <w:hyperlink w:anchor="_Toc506537597" w:history="1">
        <w:r w:rsidR="004D3946" w:rsidRPr="00B17091">
          <w:rPr>
            <w:rStyle w:val="Hyperlink"/>
            <w:noProof/>
          </w:rPr>
          <w:t>VI.</w:t>
        </w:r>
        <w:r w:rsidR="004D3946">
          <w:rPr>
            <w:rFonts w:asciiTheme="minorHAnsi" w:eastAsiaTheme="minorEastAsia" w:hAnsiTheme="minorHAnsi" w:cstheme="minorBidi"/>
            <w:noProof/>
            <w:szCs w:val="22"/>
          </w:rPr>
          <w:tab/>
        </w:r>
        <w:r w:rsidR="004D3946" w:rsidRPr="00B17091">
          <w:rPr>
            <w:rStyle w:val="Hyperlink"/>
            <w:noProof/>
          </w:rPr>
          <w:t>STAKEHOLDER CONSULTATIONS AND DOCUMENTS RECEIVED</w:t>
        </w:r>
        <w:r w:rsidR="004D3946">
          <w:rPr>
            <w:noProof/>
            <w:webHidden/>
          </w:rPr>
          <w:tab/>
        </w:r>
        <w:r w:rsidR="004D3946">
          <w:rPr>
            <w:noProof/>
            <w:webHidden/>
          </w:rPr>
          <w:fldChar w:fldCharType="begin"/>
        </w:r>
        <w:r w:rsidR="004D3946">
          <w:rPr>
            <w:noProof/>
            <w:webHidden/>
          </w:rPr>
          <w:instrText xml:space="preserve"> PAGEREF _Toc506537597 \h </w:instrText>
        </w:r>
        <w:r w:rsidR="004D3946">
          <w:rPr>
            <w:noProof/>
            <w:webHidden/>
          </w:rPr>
        </w:r>
        <w:r w:rsidR="004D3946">
          <w:rPr>
            <w:noProof/>
            <w:webHidden/>
          </w:rPr>
          <w:fldChar w:fldCharType="separate"/>
        </w:r>
        <w:r w:rsidR="00335383">
          <w:rPr>
            <w:noProof/>
            <w:webHidden/>
          </w:rPr>
          <w:t>4</w:t>
        </w:r>
        <w:r w:rsidR="004D3946">
          <w:rPr>
            <w:noProof/>
            <w:webHidden/>
          </w:rPr>
          <w:fldChar w:fldCharType="end"/>
        </w:r>
      </w:hyperlink>
    </w:p>
    <w:p w14:paraId="3B8F015E" w14:textId="03516AFA" w:rsidR="00D25EC9" w:rsidRDefault="004D3946" w:rsidP="00D25EC9">
      <w:pPr>
        <w:spacing w:line="360" w:lineRule="auto"/>
        <w:jc w:val="center"/>
        <w:rPr>
          <w:rFonts w:cs="Arial"/>
          <w:b/>
          <w:sz w:val="24"/>
          <w:szCs w:val="24"/>
        </w:rPr>
      </w:pPr>
      <w:r>
        <w:rPr>
          <w:rFonts w:cs="Arial"/>
          <w:b/>
          <w:sz w:val="24"/>
          <w:szCs w:val="24"/>
        </w:rPr>
        <w:fldChar w:fldCharType="end"/>
      </w:r>
    </w:p>
    <w:p w14:paraId="7562279D" w14:textId="78343981" w:rsidR="00B96B78" w:rsidRPr="00D25EC9" w:rsidRDefault="00D25EC9" w:rsidP="00D25EC9">
      <w:pPr>
        <w:spacing w:line="360" w:lineRule="auto"/>
        <w:jc w:val="center"/>
        <w:rPr>
          <w:rFonts w:cs="Arial"/>
          <w:b/>
          <w:sz w:val="24"/>
          <w:szCs w:val="24"/>
        </w:rPr>
      </w:pPr>
      <w:r w:rsidRPr="00722174">
        <w:rPr>
          <w:rFonts w:cs="Arial"/>
          <w:b/>
          <w:sz w:val="24"/>
          <w:szCs w:val="24"/>
        </w:rPr>
        <w:t>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788"/>
        <w:gridCol w:w="642"/>
      </w:tblGrid>
      <w:tr w:rsidR="00210753" w14:paraId="2DC70C8F" w14:textId="77777777" w:rsidTr="00282A17">
        <w:trPr>
          <w:trHeight w:hRule="exact" w:val="418"/>
        </w:trPr>
        <w:tc>
          <w:tcPr>
            <w:tcW w:w="1146" w:type="dxa"/>
          </w:tcPr>
          <w:p w14:paraId="5CB54FD3" w14:textId="38E88F7F" w:rsidR="00D25EC9" w:rsidRDefault="00D25EC9" w:rsidP="00193B92">
            <w:pPr>
              <w:spacing w:line="360" w:lineRule="auto"/>
              <w:rPr>
                <w:rFonts w:cs="Arial"/>
              </w:rPr>
            </w:pPr>
            <w:r>
              <w:rPr>
                <w:rFonts w:cs="Arial"/>
              </w:rPr>
              <w:t>Figure 1:</w:t>
            </w:r>
          </w:p>
        </w:tc>
        <w:tc>
          <w:tcPr>
            <w:tcW w:w="7788" w:type="dxa"/>
          </w:tcPr>
          <w:p w14:paraId="32C433E2" w14:textId="27765EE7" w:rsidR="00E54A70" w:rsidRPr="00E54A70" w:rsidRDefault="00210753" w:rsidP="00193B92">
            <w:pPr>
              <w:spacing w:line="360" w:lineRule="auto"/>
              <w:rPr>
                <w:rFonts w:cs="Arial"/>
                <w:bCs/>
              </w:rPr>
            </w:pPr>
            <w:r>
              <w:rPr>
                <w:rFonts w:cs="Arial"/>
                <w:bCs/>
              </w:rPr>
              <w:t>Financing of Fiscal Deficit</w:t>
            </w:r>
          </w:p>
        </w:tc>
        <w:tc>
          <w:tcPr>
            <w:tcW w:w="642" w:type="dxa"/>
          </w:tcPr>
          <w:p w14:paraId="2C0743F6" w14:textId="1FEF81A2" w:rsidR="00D25EC9" w:rsidRDefault="00A50926" w:rsidP="00D25EC9">
            <w:pPr>
              <w:spacing w:line="360" w:lineRule="auto"/>
              <w:jc w:val="right"/>
              <w:rPr>
                <w:rFonts w:cs="Arial"/>
              </w:rPr>
            </w:pPr>
            <w:r>
              <w:rPr>
                <w:rFonts w:cs="Arial"/>
              </w:rPr>
              <w:t>2</w:t>
            </w:r>
          </w:p>
        </w:tc>
      </w:tr>
      <w:tr w:rsidR="00210753" w14:paraId="5DDBB8D9" w14:textId="77777777" w:rsidTr="00282A17">
        <w:trPr>
          <w:trHeight w:hRule="exact" w:val="418"/>
        </w:trPr>
        <w:tc>
          <w:tcPr>
            <w:tcW w:w="1146" w:type="dxa"/>
          </w:tcPr>
          <w:p w14:paraId="48399BC5" w14:textId="2F329E4E" w:rsidR="00D25EC9" w:rsidRPr="00D25EC9" w:rsidRDefault="00D25EC9" w:rsidP="00D25EC9">
            <w:pPr>
              <w:pStyle w:val="Caption"/>
              <w:spacing w:line="360" w:lineRule="auto"/>
              <w:rPr>
                <w:rFonts w:ascii="Arial" w:eastAsiaTheme="minorEastAsia" w:hAnsi="Arial" w:cs="Arial"/>
                <w:b w:val="0"/>
                <w:bCs w:val="0"/>
                <w:u w:val="none"/>
                <w:lang w:eastAsia="ja-JP"/>
              </w:rPr>
            </w:pPr>
            <w:r w:rsidRPr="00280710">
              <w:rPr>
                <w:rFonts w:ascii="Arial" w:eastAsiaTheme="minorEastAsia" w:hAnsi="Arial" w:cs="Arial"/>
                <w:b w:val="0"/>
                <w:bCs w:val="0"/>
                <w:u w:val="none"/>
                <w:lang w:eastAsia="ja-JP"/>
              </w:rPr>
              <w:t>Figure 2:</w:t>
            </w:r>
          </w:p>
        </w:tc>
        <w:tc>
          <w:tcPr>
            <w:tcW w:w="7788" w:type="dxa"/>
          </w:tcPr>
          <w:p w14:paraId="6519BBE4" w14:textId="63E96747" w:rsidR="00D25EC9" w:rsidRDefault="00210753" w:rsidP="00193B92">
            <w:pPr>
              <w:spacing w:line="360" w:lineRule="auto"/>
              <w:rPr>
                <w:rFonts w:cs="Arial"/>
              </w:rPr>
            </w:pPr>
            <w:r>
              <w:rPr>
                <w:rFonts w:cs="Arial"/>
              </w:rPr>
              <w:t>Public Debt Burden</w:t>
            </w:r>
          </w:p>
        </w:tc>
        <w:tc>
          <w:tcPr>
            <w:tcW w:w="642" w:type="dxa"/>
          </w:tcPr>
          <w:p w14:paraId="274A062D" w14:textId="74A63C0F" w:rsidR="00D25EC9" w:rsidRDefault="00A50926" w:rsidP="00D25EC9">
            <w:pPr>
              <w:spacing w:line="360" w:lineRule="auto"/>
              <w:jc w:val="right"/>
              <w:rPr>
                <w:rFonts w:cs="Arial"/>
              </w:rPr>
            </w:pPr>
            <w:r>
              <w:rPr>
                <w:rFonts w:cs="Arial"/>
              </w:rPr>
              <w:t>3</w:t>
            </w:r>
          </w:p>
        </w:tc>
      </w:tr>
      <w:tr w:rsidR="00210753" w14:paraId="6FA8AC34" w14:textId="77777777" w:rsidTr="00282A17">
        <w:trPr>
          <w:trHeight w:hRule="exact" w:val="418"/>
        </w:trPr>
        <w:tc>
          <w:tcPr>
            <w:tcW w:w="1146" w:type="dxa"/>
          </w:tcPr>
          <w:p w14:paraId="514F4821" w14:textId="1F38DE08" w:rsidR="00D25EC9" w:rsidRDefault="00D25EC9" w:rsidP="00193B92">
            <w:pPr>
              <w:spacing w:line="360" w:lineRule="auto"/>
              <w:rPr>
                <w:rFonts w:cs="Arial"/>
              </w:rPr>
            </w:pPr>
            <w:r w:rsidRPr="00280710">
              <w:rPr>
                <w:rFonts w:cs="Arial"/>
              </w:rPr>
              <w:t>Figure</w:t>
            </w:r>
            <w:r>
              <w:rPr>
                <w:rFonts w:cs="Arial"/>
              </w:rPr>
              <w:t xml:space="preserve"> 3:</w:t>
            </w:r>
          </w:p>
        </w:tc>
        <w:tc>
          <w:tcPr>
            <w:tcW w:w="7788" w:type="dxa"/>
          </w:tcPr>
          <w:p w14:paraId="698EF805" w14:textId="43C485A7" w:rsidR="00D25EC9" w:rsidRDefault="00BB2BC1" w:rsidP="00413C28">
            <w:pPr>
              <w:spacing w:line="360" w:lineRule="auto"/>
              <w:rPr>
                <w:rFonts w:cs="Arial"/>
              </w:rPr>
            </w:pPr>
            <w:r>
              <w:rPr>
                <w:rFonts w:cs="Arial"/>
              </w:rPr>
              <w:t>Composition of Government Debt by Instruments</w:t>
            </w:r>
          </w:p>
        </w:tc>
        <w:tc>
          <w:tcPr>
            <w:tcW w:w="642" w:type="dxa"/>
          </w:tcPr>
          <w:p w14:paraId="2CCDD672" w14:textId="0CC59D9F" w:rsidR="00D25EC9" w:rsidRDefault="00A50926" w:rsidP="00D25EC9">
            <w:pPr>
              <w:spacing w:line="360" w:lineRule="auto"/>
              <w:jc w:val="right"/>
              <w:rPr>
                <w:rFonts w:cs="Arial"/>
              </w:rPr>
            </w:pPr>
            <w:r>
              <w:rPr>
                <w:rFonts w:cs="Arial"/>
              </w:rPr>
              <w:t>4</w:t>
            </w:r>
          </w:p>
        </w:tc>
      </w:tr>
      <w:tr w:rsidR="00210753" w14:paraId="0C00DCC8" w14:textId="77777777" w:rsidTr="00282A17">
        <w:trPr>
          <w:trHeight w:hRule="exact" w:val="418"/>
        </w:trPr>
        <w:tc>
          <w:tcPr>
            <w:tcW w:w="1146" w:type="dxa"/>
          </w:tcPr>
          <w:p w14:paraId="2A7E468D" w14:textId="18229D28" w:rsidR="00413C28" w:rsidRPr="00280710" w:rsidRDefault="00413C28" w:rsidP="00193B92">
            <w:pPr>
              <w:spacing w:line="360" w:lineRule="auto"/>
              <w:rPr>
                <w:rFonts w:cs="Arial"/>
              </w:rPr>
            </w:pPr>
            <w:r>
              <w:rPr>
                <w:rFonts w:cs="Arial"/>
              </w:rPr>
              <w:t xml:space="preserve">Figure 4: </w:t>
            </w:r>
          </w:p>
        </w:tc>
        <w:tc>
          <w:tcPr>
            <w:tcW w:w="7788" w:type="dxa"/>
          </w:tcPr>
          <w:p w14:paraId="496564B7" w14:textId="0A487DB2" w:rsidR="00413C28" w:rsidRDefault="00BB2BC1" w:rsidP="00193B92">
            <w:pPr>
              <w:spacing w:line="360" w:lineRule="auto"/>
              <w:rPr>
                <w:rFonts w:cs="Arial"/>
                <w:lang w:val="en-GB"/>
              </w:rPr>
            </w:pPr>
            <w:r>
              <w:rPr>
                <w:rFonts w:cs="Arial"/>
                <w:lang w:val="en-GB"/>
              </w:rPr>
              <w:t>Amortization Profile of Government Debt</w:t>
            </w:r>
          </w:p>
        </w:tc>
        <w:tc>
          <w:tcPr>
            <w:tcW w:w="642" w:type="dxa"/>
          </w:tcPr>
          <w:p w14:paraId="51D5A3FC" w14:textId="034CF5CF" w:rsidR="00413C28" w:rsidRDefault="00A50926" w:rsidP="00D25EC9">
            <w:pPr>
              <w:spacing w:line="360" w:lineRule="auto"/>
              <w:jc w:val="right"/>
              <w:rPr>
                <w:rFonts w:cs="Arial"/>
              </w:rPr>
            </w:pPr>
            <w:r>
              <w:rPr>
                <w:rFonts w:cs="Arial"/>
              </w:rPr>
              <w:t>7</w:t>
            </w:r>
          </w:p>
        </w:tc>
      </w:tr>
      <w:tr w:rsidR="00210753" w14:paraId="7850DA07" w14:textId="77777777" w:rsidTr="00282A17">
        <w:trPr>
          <w:trHeight w:hRule="exact" w:val="418"/>
        </w:trPr>
        <w:tc>
          <w:tcPr>
            <w:tcW w:w="1146" w:type="dxa"/>
          </w:tcPr>
          <w:p w14:paraId="733A67B6" w14:textId="50C94124" w:rsidR="00413C28" w:rsidRDefault="00413C28" w:rsidP="00193B92">
            <w:pPr>
              <w:spacing w:line="360" w:lineRule="auto"/>
              <w:rPr>
                <w:rFonts w:cs="Arial"/>
              </w:rPr>
            </w:pPr>
            <w:r>
              <w:rPr>
                <w:rFonts w:cs="Arial"/>
              </w:rPr>
              <w:t xml:space="preserve">Figure 5: </w:t>
            </w:r>
          </w:p>
        </w:tc>
        <w:tc>
          <w:tcPr>
            <w:tcW w:w="7788" w:type="dxa"/>
          </w:tcPr>
          <w:p w14:paraId="22A9AD47" w14:textId="3A2EDF9D" w:rsidR="00413C28" w:rsidRDefault="00BB2BC1" w:rsidP="00193B92">
            <w:pPr>
              <w:spacing w:line="360" w:lineRule="auto"/>
              <w:rPr>
                <w:rFonts w:cs="Arial"/>
                <w:lang w:val="en-GB"/>
              </w:rPr>
            </w:pPr>
            <w:r>
              <w:rPr>
                <w:rFonts w:cs="Arial"/>
              </w:rPr>
              <w:t>Liquidity Coverage of Forex Reserves on Maturing External Debt</w:t>
            </w:r>
          </w:p>
        </w:tc>
        <w:tc>
          <w:tcPr>
            <w:tcW w:w="642" w:type="dxa"/>
          </w:tcPr>
          <w:p w14:paraId="62692F85" w14:textId="49A65617" w:rsidR="00413C28" w:rsidRDefault="00400FBD" w:rsidP="00D25EC9">
            <w:pPr>
              <w:spacing w:line="360" w:lineRule="auto"/>
              <w:jc w:val="right"/>
              <w:rPr>
                <w:rFonts w:cs="Arial"/>
              </w:rPr>
            </w:pPr>
            <w:r>
              <w:rPr>
                <w:rFonts w:cs="Arial"/>
              </w:rPr>
              <w:t>11</w:t>
            </w:r>
          </w:p>
        </w:tc>
      </w:tr>
      <w:tr w:rsidR="00BB2BC1" w14:paraId="3C47035F" w14:textId="77777777" w:rsidTr="00282A17">
        <w:trPr>
          <w:trHeight w:hRule="exact" w:val="418"/>
        </w:trPr>
        <w:tc>
          <w:tcPr>
            <w:tcW w:w="1146" w:type="dxa"/>
          </w:tcPr>
          <w:p w14:paraId="5F5B1CAC" w14:textId="7B943F70" w:rsidR="00BB2BC1" w:rsidRDefault="00BB2BC1" w:rsidP="00193B92">
            <w:pPr>
              <w:spacing w:line="360" w:lineRule="auto"/>
              <w:rPr>
                <w:rFonts w:cs="Arial"/>
              </w:rPr>
            </w:pPr>
            <w:r>
              <w:rPr>
                <w:rFonts w:cs="Arial"/>
              </w:rPr>
              <w:t>Figure 6:</w:t>
            </w:r>
          </w:p>
        </w:tc>
        <w:tc>
          <w:tcPr>
            <w:tcW w:w="7788" w:type="dxa"/>
          </w:tcPr>
          <w:p w14:paraId="4567CC19" w14:textId="2A6A8F17" w:rsidR="00BB2BC1" w:rsidRDefault="00BB2BC1" w:rsidP="00193B92">
            <w:pPr>
              <w:spacing w:line="360" w:lineRule="auto"/>
              <w:rPr>
                <w:rFonts w:cs="Arial"/>
                <w:lang w:val="en-GB"/>
              </w:rPr>
            </w:pPr>
            <w:r>
              <w:rPr>
                <w:rFonts w:cs="Arial"/>
                <w:lang w:val="en-GB"/>
              </w:rPr>
              <w:t>Investor Base in Government Bonds on October 2017</w:t>
            </w:r>
          </w:p>
        </w:tc>
        <w:tc>
          <w:tcPr>
            <w:tcW w:w="642" w:type="dxa"/>
          </w:tcPr>
          <w:p w14:paraId="3A0DBE36" w14:textId="332D95B6" w:rsidR="00BB2BC1" w:rsidRDefault="00400FBD" w:rsidP="00D25EC9">
            <w:pPr>
              <w:spacing w:line="360" w:lineRule="auto"/>
              <w:jc w:val="right"/>
              <w:rPr>
                <w:rFonts w:cs="Arial"/>
              </w:rPr>
            </w:pPr>
            <w:r>
              <w:rPr>
                <w:rFonts w:cs="Arial"/>
              </w:rPr>
              <w:t>15</w:t>
            </w:r>
          </w:p>
        </w:tc>
      </w:tr>
      <w:tr w:rsidR="00BB2BC1" w14:paraId="52022FD6" w14:textId="77777777" w:rsidTr="00282A17">
        <w:trPr>
          <w:trHeight w:hRule="exact" w:val="418"/>
        </w:trPr>
        <w:tc>
          <w:tcPr>
            <w:tcW w:w="1146" w:type="dxa"/>
          </w:tcPr>
          <w:p w14:paraId="240348D9" w14:textId="7B97606F" w:rsidR="00BB2BC1" w:rsidRDefault="00BB2BC1" w:rsidP="00193B92">
            <w:pPr>
              <w:spacing w:line="360" w:lineRule="auto"/>
              <w:rPr>
                <w:rFonts w:cs="Arial"/>
              </w:rPr>
            </w:pPr>
            <w:r>
              <w:rPr>
                <w:rFonts w:cs="Arial"/>
              </w:rPr>
              <w:t>Figure 7:</w:t>
            </w:r>
          </w:p>
        </w:tc>
        <w:tc>
          <w:tcPr>
            <w:tcW w:w="7788" w:type="dxa"/>
          </w:tcPr>
          <w:p w14:paraId="2D0E7E81" w14:textId="63EA7514" w:rsidR="00BB2BC1" w:rsidRDefault="006A59F3" w:rsidP="00193B92">
            <w:pPr>
              <w:spacing w:line="360" w:lineRule="auto"/>
              <w:rPr>
                <w:rFonts w:cs="Arial"/>
                <w:lang w:val="en-GB"/>
              </w:rPr>
            </w:pPr>
            <w:r>
              <w:rPr>
                <w:rFonts w:cs="Arial"/>
                <w:lang w:val="en-GB"/>
              </w:rPr>
              <w:t>Trading of Benchmark Bonds in NASDAQ OMX in 2017</w:t>
            </w:r>
          </w:p>
        </w:tc>
        <w:tc>
          <w:tcPr>
            <w:tcW w:w="642" w:type="dxa"/>
          </w:tcPr>
          <w:p w14:paraId="2017F441" w14:textId="37BEB0EA" w:rsidR="00BB2BC1" w:rsidRDefault="00400FBD" w:rsidP="00D25EC9">
            <w:pPr>
              <w:spacing w:line="360" w:lineRule="auto"/>
              <w:jc w:val="right"/>
              <w:rPr>
                <w:rFonts w:cs="Arial"/>
              </w:rPr>
            </w:pPr>
            <w:r>
              <w:rPr>
                <w:rFonts w:cs="Arial"/>
              </w:rPr>
              <w:t>17</w:t>
            </w:r>
          </w:p>
        </w:tc>
      </w:tr>
      <w:tr w:rsidR="006A59F3" w14:paraId="2F5190E2" w14:textId="77777777" w:rsidTr="00282A17">
        <w:trPr>
          <w:trHeight w:hRule="exact" w:val="418"/>
        </w:trPr>
        <w:tc>
          <w:tcPr>
            <w:tcW w:w="1146" w:type="dxa"/>
          </w:tcPr>
          <w:p w14:paraId="733BE525" w14:textId="6436C558" w:rsidR="006A59F3" w:rsidRDefault="006A59F3" w:rsidP="00193B92">
            <w:pPr>
              <w:spacing w:line="360" w:lineRule="auto"/>
              <w:rPr>
                <w:rFonts w:cs="Arial"/>
              </w:rPr>
            </w:pPr>
            <w:r>
              <w:rPr>
                <w:rFonts w:cs="Arial"/>
              </w:rPr>
              <w:lastRenderedPageBreak/>
              <w:t>Figure 8:</w:t>
            </w:r>
          </w:p>
        </w:tc>
        <w:tc>
          <w:tcPr>
            <w:tcW w:w="7788" w:type="dxa"/>
          </w:tcPr>
          <w:p w14:paraId="5BD2AB1C" w14:textId="70ECC03A" w:rsidR="006A59F3" w:rsidRDefault="006A59F3" w:rsidP="00193B92">
            <w:pPr>
              <w:spacing w:line="360" w:lineRule="auto"/>
              <w:rPr>
                <w:rFonts w:cs="Arial"/>
                <w:lang w:val="en-GB"/>
              </w:rPr>
            </w:pPr>
            <w:r>
              <w:rPr>
                <w:rFonts w:cs="Arial"/>
                <w:lang w:val="en-GB"/>
              </w:rPr>
              <w:t>Buyback of Bonds as on 20 December 2017</w:t>
            </w:r>
          </w:p>
        </w:tc>
        <w:tc>
          <w:tcPr>
            <w:tcW w:w="642" w:type="dxa"/>
          </w:tcPr>
          <w:p w14:paraId="3BFB35F3" w14:textId="30FB9D02" w:rsidR="006A59F3" w:rsidRDefault="00400FBD" w:rsidP="00D25EC9">
            <w:pPr>
              <w:spacing w:line="360" w:lineRule="auto"/>
              <w:jc w:val="right"/>
              <w:rPr>
                <w:rFonts w:cs="Arial"/>
              </w:rPr>
            </w:pPr>
            <w:r>
              <w:rPr>
                <w:rFonts w:cs="Arial"/>
              </w:rPr>
              <w:t>19</w:t>
            </w:r>
          </w:p>
        </w:tc>
      </w:tr>
      <w:tr w:rsidR="00192A68" w14:paraId="4410E609" w14:textId="77777777" w:rsidTr="00282A17">
        <w:trPr>
          <w:trHeight w:hRule="exact" w:val="418"/>
        </w:trPr>
        <w:tc>
          <w:tcPr>
            <w:tcW w:w="1146" w:type="dxa"/>
          </w:tcPr>
          <w:p w14:paraId="5C1706E0" w14:textId="09D685F5" w:rsidR="00192A68" w:rsidRDefault="00192A68" w:rsidP="00193B92">
            <w:pPr>
              <w:spacing w:line="360" w:lineRule="auto"/>
              <w:rPr>
                <w:rFonts w:cs="Arial"/>
              </w:rPr>
            </w:pPr>
            <w:r>
              <w:rPr>
                <w:rFonts w:cs="Arial"/>
              </w:rPr>
              <w:t>Figure 9:</w:t>
            </w:r>
          </w:p>
        </w:tc>
        <w:tc>
          <w:tcPr>
            <w:tcW w:w="7788" w:type="dxa"/>
          </w:tcPr>
          <w:p w14:paraId="7A6FAB0B" w14:textId="7DBD8722" w:rsidR="00192A68" w:rsidRDefault="00885C5E" w:rsidP="00193B92">
            <w:pPr>
              <w:spacing w:line="360" w:lineRule="auto"/>
              <w:rPr>
                <w:rFonts w:cs="Arial"/>
                <w:lang w:val="en-GB"/>
              </w:rPr>
            </w:pPr>
            <w:r>
              <w:rPr>
                <w:rFonts w:cs="Arial"/>
                <w:lang w:val="en-GB"/>
              </w:rPr>
              <w:t>Impact on Redemption Profile for Buybacks</w:t>
            </w:r>
          </w:p>
        </w:tc>
        <w:tc>
          <w:tcPr>
            <w:tcW w:w="642" w:type="dxa"/>
          </w:tcPr>
          <w:p w14:paraId="2901C5E0" w14:textId="77777777" w:rsidR="00192A68" w:rsidRDefault="00192A68" w:rsidP="00D25EC9">
            <w:pPr>
              <w:spacing w:line="360" w:lineRule="auto"/>
              <w:jc w:val="right"/>
              <w:rPr>
                <w:rFonts w:cs="Arial"/>
              </w:rPr>
            </w:pPr>
          </w:p>
        </w:tc>
      </w:tr>
      <w:tr w:rsidR="00192A68" w14:paraId="4D89E5AE" w14:textId="77777777" w:rsidTr="00282A17">
        <w:trPr>
          <w:trHeight w:hRule="exact" w:val="418"/>
        </w:trPr>
        <w:tc>
          <w:tcPr>
            <w:tcW w:w="1146" w:type="dxa"/>
          </w:tcPr>
          <w:p w14:paraId="28135361" w14:textId="125EB62C" w:rsidR="00192A68" w:rsidRDefault="00192A68" w:rsidP="00193B92">
            <w:pPr>
              <w:spacing w:line="360" w:lineRule="auto"/>
              <w:rPr>
                <w:rFonts w:cs="Arial"/>
              </w:rPr>
            </w:pPr>
            <w:r>
              <w:rPr>
                <w:rFonts w:cs="Arial"/>
              </w:rPr>
              <w:t>Figure 10:</w:t>
            </w:r>
          </w:p>
        </w:tc>
        <w:tc>
          <w:tcPr>
            <w:tcW w:w="7788" w:type="dxa"/>
          </w:tcPr>
          <w:p w14:paraId="08727B9F" w14:textId="060AC74E" w:rsidR="00192A68" w:rsidRDefault="00885C5E" w:rsidP="00193B92">
            <w:pPr>
              <w:spacing w:line="360" w:lineRule="auto"/>
              <w:rPr>
                <w:rFonts w:cs="Arial"/>
                <w:lang w:val="en-GB"/>
              </w:rPr>
            </w:pPr>
            <w:r>
              <w:rPr>
                <w:rFonts w:cs="Arial"/>
                <w:lang w:val="en-GB"/>
              </w:rPr>
              <w:t>Impact on Redemption Profile for Redemption at Maturity</w:t>
            </w:r>
          </w:p>
        </w:tc>
        <w:tc>
          <w:tcPr>
            <w:tcW w:w="642" w:type="dxa"/>
          </w:tcPr>
          <w:p w14:paraId="2AFD2BE6" w14:textId="77777777" w:rsidR="00192A68" w:rsidRDefault="00192A68" w:rsidP="00D25EC9">
            <w:pPr>
              <w:spacing w:line="360" w:lineRule="auto"/>
              <w:jc w:val="right"/>
              <w:rPr>
                <w:rFonts w:cs="Arial"/>
              </w:rPr>
            </w:pPr>
          </w:p>
        </w:tc>
      </w:tr>
    </w:tbl>
    <w:p w14:paraId="0A2C726D" w14:textId="77777777" w:rsidR="00604421" w:rsidRPr="00604421" w:rsidRDefault="00604421" w:rsidP="00D25EC9">
      <w:pPr>
        <w:spacing w:line="360" w:lineRule="auto"/>
        <w:rPr>
          <w:rFonts w:cs="Arial"/>
          <w:b/>
        </w:rPr>
      </w:pPr>
    </w:p>
    <w:p w14:paraId="5D142A8B" w14:textId="4BEDDD69" w:rsidR="00722174" w:rsidRDefault="00715DD6" w:rsidP="00A9471F">
      <w:pPr>
        <w:spacing w:line="360" w:lineRule="auto"/>
        <w:jc w:val="center"/>
        <w:rPr>
          <w:rFonts w:cs="Arial"/>
          <w:b/>
          <w:sz w:val="24"/>
          <w:szCs w:val="24"/>
        </w:rPr>
      </w:pPr>
      <w:r w:rsidRPr="00722174">
        <w:rPr>
          <w:rFonts w:cs="Arial"/>
          <w:b/>
          <w:sz w:val="24"/>
          <w:szCs w:val="24"/>
        </w:rPr>
        <w:t>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7490"/>
        <w:gridCol w:w="835"/>
      </w:tblGrid>
      <w:tr w:rsidR="00D45FA7" w14:paraId="412B4FFD" w14:textId="77777777" w:rsidTr="006265E4">
        <w:trPr>
          <w:trHeight w:hRule="exact" w:val="418"/>
        </w:trPr>
        <w:tc>
          <w:tcPr>
            <w:tcW w:w="1251" w:type="dxa"/>
          </w:tcPr>
          <w:p w14:paraId="7E9C23DF" w14:textId="35A882E3" w:rsidR="00D45FA7" w:rsidRDefault="00D45FA7" w:rsidP="00193B92">
            <w:pPr>
              <w:spacing w:line="360" w:lineRule="auto"/>
              <w:rPr>
                <w:rFonts w:cs="Arial"/>
              </w:rPr>
            </w:pPr>
            <w:r>
              <w:rPr>
                <w:rFonts w:cs="Arial"/>
              </w:rPr>
              <w:t>Table 1:</w:t>
            </w:r>
          </w:p>
        </w:tc>
        <w:tc>
          <w:tcPr>
            <w:tcW w:w="7490" w:type="dxa"/>
          </w:tcPr>
          <w:p w14:paraId="3265D9DF" w14:textId="28067B1B" w:rsidR="00D45FA7" w:rsidRDefault="00210753" w:rsidP="00525E54">
            <w:pPr>
              <w:spacing w:line="360" w:lineRule="auto"/>
              <w:rPr>
                <w:rFonts w:cs="Arial"/>
              </w:rPr>
            </w:pPr>
            <w:r>
              <w:rPr>
                <w:rFonts w:cs="Arial"/>
              </w:rPr>
              <w:t xml:space="preserve">Macroeconomic </w:t>
            </w:r>
            <w:r w:rsidR="00605D5B">
              <w:rPr>
                <w:rFonts w:cs="Arial"/>
              </w:rPr>
              <w:t>Indicators for</w:t>
            </w:r>
            <w:r>
              <w:rPr>
                <w:rFonts w:cs="Arial"/>
              </w:rPr>
              <w:t xml:space="preserve"> Armenia</w:t>
            </w:r>
          </w:p>
          <w:p w14:paraId="02747B0E" w14:textId="77777777" w:rsidR="00D45FA7" w:rsidRDefault="00D45FA7" w:rsidP="00525E54">
            <w:pPr>
              <w:spacing w:line="360" w:lineRule="auto"/>
              <w:rPr>
                <w:rFonts w:cs="Arial"/>
              </w:rPr>
            </w:pPr>
          </w:p>
          <w:p w14:paraId="4719201E" w14:textId="7A0C6674" w:rsidR="00D45FA7" w:rsidRDefault="00605D5B" w:rsidP="00525E54">
            <w:pPr>
              <w:spacing w:line="360" w:lineRule="auto"/>
              <w:rPr>
                <w:rFonts w:cs="Arial"/>
              </w:rPr>
            </w:pPr>
            <w:r>
              <w:rPr>
                <w:rFonts w:cs="Arial"/>
              </w:rPr>
              <w:t>Thresholds</w:t>
            </w:r>
            <w:r w:rsidR="00D45FA7">
              <w:rPr>
                <w:rFonts w:cs="Arial"/>
              </w:rPr>
              <w:t>______________________________</w:t>
            </w:r>
          </w:p>
        </w:tc>
        <w:tc>
          <w:tcPr>
            <w:tcW w:w="835" w:type="dxa"/>
          </w:tcPr>
          <w:p w14:paraId="29F1ED5A" w14:textId="63ECC2E3" w:rsidR="00D45FA7" w:rsidRDefault="00A50926" w:rsidP="002E25B6">
            <w:pPr>
              <w:spacing w:line="360" w:lineRule="auto"/>
              <w:jc w:val="right"/>
              <w:rPr>
                <w:rFonts w:cs="Arial"/>
              </w:rPr>
            </w:pPr>
            <w:r>
              <w:rPr>
                <w:rFonts w:cs="Arial"/>
              </w:rPr>
              <w:t>1</w:t>
            </w:r>
          </w:p>
        </w:tc>
      </w:tr>
      <w:tr w:rsidR="00722174" w14:paraId="6DE51DC0" w14:textId="77777777" w:rsidTr="006265E4">
        <w:trPr>
          <w:trHeight w:hRule="exact" w:val="447"/>
        </w:trPr>
        <w:tc>
          <w:tcPr>
            <w:tcW w:w="1251" w:type="dxa"/>
          </w:tcPr>
          <w:p w14:paraId="40908D33" w14:textId="1E87D117" w:rsidR="00722174" w:rsidRDefault="00096F56" w:rsidP="00193B92">
            <w:pPr>
              <w:spacing w:line="360" w:lineRule="auto"/>
              <w:rPr>
                <w:rFonts w:cs="Arial"/>
                <w:b/>
                <w:sz w:val="24"/>
                <w:szCs w:val="24"/>
              </w:rPr>
            </w:pPr>
            <w:r>
              <w:rPr>
                <w:rFonts w:cs="Arial"/>
              </w:rPr>
              <w:t>Table 2</w:t>
            </w:r>
            <w:r w:rsidR="00722174" w:rsidRPr="001803FA">
              <w:rPr>
                <w:rFonts w:cs="Arial"/>
              </w:rPr>
              <w:t>:</w:t>
            </w:r>
          </w:p>
        </w:tc>
        <w:tc>
          <w:tcPr>
            <w:tcW w:w="7490" w:type="dxa"/>
          </w:tcPr>
          <w:p w14:paraId="0485AC5B" w14:textId="49DF6ADA" w:rsidR="00722174" w:rsidRPr="00BB2BC1" w:rsidRDefault="00BB2BC1" w:rsidP="00525E54">
            <w:pPr>
              <w:spacing w:line="360" w:lineRule="auto"/>
              <w:rPr>
                <w:rFonts w:cs="Arial"/>
                <w:bCs/>
              </w:rPr>
            </w:pPr>
            <w:r w:rsidRPr="00BB2BC1">
              <w:rPr>
                <w:rFonts w:cs="Arial"/>
                <w:bCs/>
              </w:rPr>
              <w:t>Evolution of Public Debt in Armenia</w:t>
            </w:r>
          </w:p>
        </w:tc>
        <w:tc>
          <w:tcPr>
            <w:tcW w:w="835" w:type="dxa"/>
          </w:tcPr>
          <w:p w14:paraId="1731D5D6" w14:textId="7C9BC747" w:rsidR="00722174" w:rsidRPr="00E54A70" w:rsidRDefault="00A50926" w:rsidP="002E25B6">
            <w:pPr>
              <w:spacing w:line="360" w:lineRule="auto"/>
              <w:jc w:val="right"/>
              <w:rPr>
                <w:rFonts w:cs="Arial"/>
              </w:rPr>
            </w:pPr>
            <w:r>
              <w:rPr>
                <w:rFonts w:cs="Arial"/>
              </w:rPr>
              <w:t>4</w:t>
            </w:r>
            <w:r w:rsidR="002A0E63">
              <w:rPr>
                <w:rFonts w:cs="Arial"/>
              </w:rPr>
              <w:t xml:space="preserve"> </w:t>
            </w:r>
          </w:p>
        </w:tc>
      </w:tr>
      <w:tr w:rsidR="00BB2BC1" w14:paraId="715267CE" w14:textId="77777777" w:rsidTr="006265E4">
        <w:trPr>
          <w:trHeight w:hRule="exact" w:val="418"/>
        </w:trPr>
        <w:tc>
          <w:tcPr>
            <w:tcW w:w="1251" w:type="dxa"/>
          </w:tcPr>
          <w:p w14:paraId="0B98A256" w14:textId="5FF26FB2" w:rsidR="00BB2BC1" w:rsidRDefault="00BB2BC1" w:rsidP="00193B92">
            <w:pPr>
              <w:spacing w:line="360" w:lineRule="auto"/>
              <w:rPr>
                <w:rFonts w:cs="Arial"/>
              </w:rPr>
            </w:pPr>
            <w:r>
              <w:rPr>
                <w:rFonts w:cs="Arial"/>
              </w:rPr>
              <w:t>Table 3</w:t>
            </w:r>
            <w:r w:rsidRPr="001803FA">
              <w:rPr>
                <w:rFonts w:cs="Arial"/>
              </w:rPr>
              <w:t>:</w:t>
            </w:r>
          </w:p>
        </w:tc>
        <w:tc>
          <w:tcPr>
            <w:tcW w:w="7490" w:type="dxa"/>
          </w:tcPr>
          <w:p w14:paraId="7998749C" w14:textId="425DCEEF" w:rsidR="00BB2BC1" w:rsidRDefault="00BB2BC1" w:rsidP="00525E54">
            <w:pPr>
              <w:spacing w:line="360" w:lineRule="auto"/>
              <w:rPr>
                <w:rFonts w:cs="Arial"/>
              </w:rPr>
            </w:pPr>
            <w:r>
              <w:rPr>
                <w:rFonts w:cs="Arial"/>
              </w:rPr>
              <w:t>Risk Metrics and Benchmarks on Government Debt as on end-2017</w:t>
            </w:r>
          </w:p>
        </w:tc>
        <w:tc>
          <w:tcPr>
            <w:tcW w:w="835" w:type="dxa"/>
          </w:tcPr>
          <w:p w14:paraId="68BE8DCA" w14:textId="3CE9155C" w:rsidR="00BB2BC1" w:rsidRDefault="00A50926" w:rsidP="002E25B6">
            <w:pPr>
              <w:spacing w:line="360" w:lineRule="auto"/>
              <w:jc w:val="right"/>
              <w:rPr>
                <w:rFonts w:cs="Arial"/>
              </w:rPr>
            </w:pPr>
            <w:r>
              <w:rPr>
                <w:rFonts w:cs="Arial"/>
              </w:rPr>
              <w:t>6</w:t>
            </w:r>
          </w:p>
        </w:tc>
      </w:tr>
      <w:tr w:rsidR="00BB2BC1" w14:paraId="00E92045" w14:textId="77777777" w:rsidTr="006265E4">
        <w:trPr>
          <w:trHeight w:hRule="exact" w:val="418"/>
        </w:trPr>
        <w:tc>
          <w:tcPr>
            <w:tcW w:w="1251" w:type="dxa"/>
          </w:tcPr>
          <w:p w14:paraId="0165397C" w14:textId="3304E701" w:rsidR="00BB2BC1" w:rsidRDefault="00BB2BC1" w:rsidP="00193B92">
            <w:pPr>
              <w:spacing w:line="360" w:lineRule="auto"/>
              <w:rPr>
                <w:rFonts w:cs="Arial"/>
              </w:rPr>
            </w:pPr>
            <w:r>
              <w:rPr>
                <w:rFonts w:cs="Arial"/>
              </w:rPr>
              <w:t>Table 4</w:t>
            </w:r>
            <w:r w:rsidRPr="001803FA">
              <w:rPr>
                <w:rFonts w:cs="Arial"/>
              </w:rPr>
              <w:t>:</w:t>
            </w:r>
          </w:p>
        </w:tc>
        <w:tc>
          <w:tcPr>
            <w:tcW w:w="7490" w:type="dxa"/>
          </w:tcPr>
          <w:p w14:paraId="235AF00A" w14:textId="52674FED" w:rsidR="00BB2BC1" w:rsidRDefault="00BB2BC1" w:rsidP="00525E54">
            <w:pPr>
              <w:spacing w:line="360" w:lineRule="auto"/>
              <w:rPr>
                <w:rFonts w:cs="Arial"/>
              </w:rPr>
            </w:pPr>
            <w:r>
              <w:rPr>
                <w:rFonts w:cs="Arial"/>
              </w:rPr>
              <w:t>2017-20 State Budget Deficit Financing by Net Borrowings</w:t>
            </w:r>
          </w:p>
        </w:tc>
        <w:tc>
          <w:tcPr>
            <w:tcW w:w="835" w:type="dxa"/>
          </w:tcPr>
          <w:p w14:paraId="72B766A1" w14:textId="0171C3A8" w:rsidR="00BB2BC1" w:rsidRDefault="00A50926" w:rsidP="002E25B6">
            <w:pPr>
              <w:spacing w:line="360" w:lineRule="auto"/>
              <w:jc w:val="right"/>
              <w:rPr>
                <w:rFonts w:cs="Arial"/>
              </w:rPr>
            </w:pPr>
            <w:r>
              <w:rPr>
                <w:rFonts w:cs="Arial"/>
              </w:rPr>
              <w:t>8</w:t>
            </w:r>
          </w:p>
        </w:tc>
      </w:tr>
      <w:tr w:rsidR="00BB2BC1" w14:paraId="41D6661F" w14:textId="77777777" w:rsidTr="006265E4">
        <w:trPr>
          <w:trHeight w:hRule="exact" w:val="418"/>
        </w:trPr>
        <w:tc>
          <w:tcPr>
            <w:tcW w:w="1251" w:type="dxa"/>
          </w:tcPr>
          <w:p w14:paraId="0A87B6FC" w14:textId="1C9F6F6F" w:rsidR="00BB2BC1" w:rsidRDefault="00BB2BC1" w:rsidP="00193B92">
            <w:pPr>
              <w:spacing w:line="360" w:lineRule="auto"/>
              <w:rPr>
                <w:rFonts w:cs="Arial"/>
              </w:rPr>
            </w:pPr>
            <w:r>
              <w:rPr>
                <w:rFonts w:cs="Arial"/>
              </w:rPr>
              <w:t>Table 5</w:t>
            </w:r>
            <w:r w:rsidRPr="001803FA">
              <w:rPr>
                <w:rFonts w:cs="Arial"/>
              </w:rPr>
              <w:t>:</w:t>
            </w:r>
          </w:p>
        </w:tc>
        <w:tc>
          <w:tcPr>
            <w:tcW w:w="7490" w:type="dxa"/>
          </w:tcPr>
          <w:p w14:paraId="138392B4" w14:textId="72C86B4D" w:rsidR="00BB2BC1" w:rsidRDefault="00BB2BC1" w:rsidP="00525E54">
            <w:pPr>
              <w:spacing w:line="360" w:lineRule="auto"/>
              <w:rPr>
                <w:rFonts w:cs="Arial"/>
              </w:rPr>
            </w:pPr>
            <w:r>
              <w:rPr>
                <w:rFonts w:cs="Arial"/>
              </w:rPr>
              <w:t>Effectiveness of MTDS Benchmarks</w:t>
            </w:r>
          </w:p>
        </w:tc>
        <w:tc>
          <w:tcPr>
            <w:tcW w:w="835" w:type="dxa"/>
          </w:tcPr>
          <w:p w14:paraId="399FC85D" w14:textId="502E3F9E" w:rsidR="00BB2BC1" w:rsidRDefault="00A50926" w:rsidP="002E25B6">
            <w:pPr>
              <w:spacing w:line="360" w:lineRule="auto"/>
              <w:jc w:val="right"/>
              <w:rPr>
                <w:rFonts w:cs="Arial"/>
              </w:rPr>
            </w:pPr>
            <w:r>
              <w:rPr>
                <w:rFonts w:cs="Arial"/>
              </w:rPr>
              <w:t>8</w:t>
            </w:r>
          </w:p>
        </w:tc>
      </w:tr>
      <w:tr w:rsidR="00BB2BC1" w14:paraId="15A4ECFE" w14:textId="77777777" w:rsidTr="00BB2BC1">
        <w:trPr>
          <w:trHeight w:hRule="exact" w:val="730"/>
        </w:trPr>
        <w:tc>
          <w:tcPr>
            <w:tcW w:w="1251" w:type="dxa"/>
          </w:tcPr>
          <w:p w14:paraId="3DCE3B32" w14:textId="77610A80" w:rsidR="00BB2BC1" w:rsidRDefault="00BB2BC1" w:rsidP="00193B92">
            <w:pPr>
              <w:spacing w:line="360" w:lineRule="auto"/>
              <w:rPr>
                <w:rFonts w:cs="Arial"/>
              </w:rPr>
            </w:pPr>
            <w:r>
              <w:rPr>
                <w:rFonts w:cs="Arial"/>
              </w:rPr>
              <w:t>Table 6</w:t>
            </w:r>
            <w:r w:rsidRPr="001803FA">
              <w:rPr>
                <w:rFonts w:cs="Arial"/>
              </w:rPr>
              <w:t>:</w:t>
            </w:r>
          </w:p>
        </w:tc>
        <w:tc>
          <w:tcPr>
            <w:tcW w:w="7490" w:type="dxa"/>
          </w:tcPr>
          <w:p w14:paraId="2BC1CD27" w14:textId="1EDBC7FA" w:rsidR="00BB2BC1" w:rsidRDefault="00BB2BC1" w:rsidP="00525E54">
            <w:pPr>
              <w:spacing w:line="360" w:lineRule="auto"/>
              <w:rPr>
                <w:rFonts w:cs="Arial"/>
              </w:rPr>
            </w:pPr>
            <w:r>
              <w:rPr>
                <w:rFonts w:cs="Arial"/>
              </w:rPr>
              <w:t>Performance of Aggressive Domestic Debt Issuance vis-à-vis Existing Strategy</w:t>
            </w:r>
          </w:p>
        </w:tc>
        <w:tc>
          <w:tcPr>
            <w:tcW w:w="835" w:type="dxa"/>
          </w:tcPr>
          <w:p w14:paraId="44E80F6F" w14:textId="666A986A" w:rsidR="00BB2BC1" w:rsidRDefault="00400FBD" w:rsidP="002E25B6">
            <w:pPr>
              <w:spacing w:line="360" w:lineRule="auto"/>
              <w:jc w:val="right"/>
              <w:rPr>
                <w:rFonts w:cs="Arial"/>
              </w:rPr>
            </w:pPr>
            <w:r>
              <w:rPr>
                <w:rFonts w:cs="Arial"/>
              </w:rPr>
              <w:t>10</w:t>
            </w:r>
          </w:p>
        </w:tc>
      </w:tr>
      <w:tr w:rsidR="00BB0865" w14:paraId="364DE24B" w14:textId="77777777" w:rsidTr="009C00DC">
        <w:trPr>
          <w:trHeight w:hRule="exact" w:val="779"/>
        </w:trPr>
        <w:tc>
          <w:tcPr>
            <w:tcW w:w="1251" w:type="dxa"/>
          </w:tcPr>
          <w:p w14:paraId="7430DEFD" w14:textId="4847B907" w:rsidR="00BB0865" w:rsidRDefault="00BB0865" w:rsidP="00193B92">
            <w:pPr>
              <w:spacing w:line="360" w:lineRule="auto"/>
              <w:rPr>
                <w:rFonts w:cs="Arial"/>
              </w:rPr>
            </w:pPr>
            <w:r>
              <w:rPr>
                <w:rFonts w:cs="Arial"/>
              </w:rPr>
              <w:t>Table 7:</w:t>
            </w:r>
          </w:p>
        </w:tc>
        <w:tc>
          <w:tcPr>
            <w:tcW w:w="7490" w:type="dxa"/>
          </w:tcPr>
          <w:p w14:paraId="11E774C4" w14:textId="7442C326" w:rsidR="00BB0865" w:rsidRDefault="00BB0865" w:rsidP="00525E54">
            <w:pPr>
              <w:spacing w:line="360" w:lineRule="auto"/>
              <w:rPr>
                <w:rFonts w:cs="Arial"/>
                <w:lang w:val="en-GB"/>
              </w:rPr>
            </w:pPr>
            <w:r>
              <w:rPr>
                <w:rFonts w:cs="Arial"/>
                <w:lang w:val="en-GB"/>
              </w:rPr>
              <w:t>Impact of Realistic Baseline Assumptions – Comparison between Alternative Strategies</w:t>
            </w:r>
          </w:p>
        </w:tc>
        <w:tc>
          <w:tcPr>
            <w:tcW w:w="835" w:type="dxa"/>
          </w:tcPr>
          <w:p w14:paraId="7777498F" w14:textId="77777777" w:rsidR="00BB0865" w:rsidRDefault="00BB0865" w:rsidP="002E25B6">
            <w:pPr>
              <w:spacing w:line="360" w:lineRule="auto"/>
              <w:jc w:val="right"/>
              <w:rPr>
                <w:rFonts w:cs="Arial"/>
              </w:rPr>
            </w:pPr>
          </w:p>
        </w:tc>
      </w:tr>
      <w:tr w:rsidR="00BB2BC1" w14:paraId="523D1049" w14:textId="77777777" w:rsidTr="006265E4">
        <w:trPr>
          <w:trHeight w:hRule="exact" w:val="418"/>
        </w:trPr>
        <w:tc>
          <w:tcPr>
            <w:tcW w:w="1251" w:type="dxa"/>
          </w:tcPr>
          <w:p w14:paraId="732493AD" w14:textId="01B8FD45" w:rsidR="00BB2BC1" w:rsidRDefault="00BB2BC1" w:rsidP="00193B92">
            <w:pPr>
              <w:spacing w:line="360" w:lineRule="auto"/>
              <w:rPr>
                <w:rFonts w:cs="Arial"/>
              </w:rPr>
            </w:pPr>
            <w:r>
              <w:rPr>
                <w:rFonts w:cs="Arial"/>
              </w:rPr>
              <w:t xml:space="preserve">Table </w:t>
            </w:r>
            <w:r w:rsidR="00BB0865">
              <w:rPr>
                <w:rFonts w:cs="Arial"/>
              </w:rPr>
              <w:t>8</w:t>
            </w:r>
            <w:r w:rsidRPr="001803FA">
              <w:rPr>
                <w:rFonts w:cs="Arial"/>
              </w:rPr>
              <w:t>:</w:t>
            </w:r>
          </w:p>
        </w:tc>
        <w:tc>
          <w:tcPr>
            <w:tcW w:w="7490" w:type="dxa"/>
          </w:tcPr>
          <w:p w14:paraId="5D425805" w14:textId="6B9EDDB2" w:rsidR="00BB2BC1" w:rsidRDefault="00BB2BC1" w:rsidP="00525E54">
            <w:pPr>
              <w:spacing w:line="360" w:lineRule="auto"/>
              <w:rPr>
                <w:rFonts w:cs="Arial"/>
              </w:rPr>
            </w:pPr>
            <w:r>
              <w:rPr>
                <w:rFonts w:cs="Arial"/>
                <w:lang w:val="en-GB"/>
              </w:rPr>
              <w:t>Profile of Benchmark Bonds as on 20 December 2017</w:t>
            </w:r>
          </w:p>
        </w:tc>
        <w:tc>
          <w:tcPr>
            <w:tcW w:w="835" w:type="dxa"/>
          </w:tcPr>
          <w:p w14:paraId="5537A18A" w14:textId="607827CE" w:rsidR="00BB2BC1" w:rsidRDefault="00400FBD" w:rsidP="002E25B6">
            <w:pPr>
              <w:spacing w:line="360" w:lineRule="auto"/>
              <w:jc w:val="right"/>
              <w:rPr>
                <w:rFonts w:cs="Arial"/>
              </w:rPr>
            </w:pPr>
            <w:r>
              <w:rPr>
                <w:rFonts w:cs="Arial"/>
              </w:rPr>
              <w:t>13</w:t>
            </w:r>
          </w:p>
        </w:tc>
      </w:tr>
      <w:tr w:rsidR="00BB2BC1" w14:paraId="38657283" w14:textId="77777777" w:rsidTr="006265E4">
        <w:trPr>
          <w:trHeight w:hRule="exact" w:val="418"/>
        </w:trPr>
        <w:tc>
          <w:tcPr>
            <w:tcW w:w="1251" w:type="dxa"/>
          </w:tcPr>
          <w:p w14:paraId="7D9D5883" w14:textId="30D8ECF3" w:rsidR="00BB2BC1" w:rsidRDefault="00BB2BC1" w:rsidP="00193B92">
            <w:pPr>
              <w:spacing w:line="360" w:lineRule="auto"/>
              <w:rPr>
                <w:rFonts w:cs="Arial"/>
              </w:rPr>
            </w:pPr>
            <w:r>
              <w:rPr>
                <w:rFonts w:cs="Arial"/>
              </w:rPr>
              <w:t xml:space="preserve">Table </w:t>
            </w:r>
            <w:r w:rsidR="00BB0865">
              <w:rPr>
                <w:rFonts w:cs="Arial"/>
              </w:rPr>
              <w:t>9</w:t>
            </w:r>
            <w:r w:rsidRPr="001803FA">
              <w:rPr>
                <w:rFonts w:cs="Arial"/>
              </w:rPr>
              <w:t>:</w:t>
            </w:r>
          </w:p>
        </w:tc>
        <w:tc>
          <w:tcPr>
            <w:tcW w:w="7490" w:type="dxa"/>
          </w:tcPr>
          <w:p w14:paraId="1859A063" w14:textId="72A64919" w:rsidR="00BB2BC1" w:rsidRDefault="006A59F3" w:rsidP="00525E54">
            <w:pPr>
              <w:spacing w:line="360" w:lineRule="auto"/>
              <w:rPr>
                <w:rFonts w:cs="Arial"/>
              </w:rPr>
            </w:pPr>
            <w:r>
              <w:rPr>
                <w:rFonts w:cs="Arial"/>
              </w:rPr>
              <w:t>Average Quarterly Yield on Government Securities</w:t>
            </w:r>
          </w:p>
        </w:tc>
        <w:tc>
          <w:tcPr>
            <w:tcW w:w="835" w:type="dxa"/>
          </w:tcPr>
          <w:p w14:paraId="416AC71D" w14:textId="396FB664" w:rsidR="00BB2BC1" w:rsidRDefault="00400FBD" w:rsidP="002E25B6">
            <w:pPr>
              <w:spacing w:line="360" w:lineRule="auto"/>
              <w:jc w:val="right"/>
              <w:rPr>
                <w:rFonts w:cs="Arial"/>
              </w:rPr>
            </w:pPr>
            <w:r>
              <w:rPr>
                <w:rFonts w:cs="Arial"/>
              </w:rPr>
              <w:t>16</w:t>
            </w:r>
          </w:p>
        </w:tc>
      </w:tr>
      <w:tr w:rsidR="00BB2BC1" w14:paraId="7EEA7074" w14:textId="77777777" w:rsidTr="006265E4">
        <w:trPr>
          <w:trHeight w:hRule="exact" w:val="418"/>
        </w:trPr>
        <w:tc>
          <w:tcPr>
            <w:tcW w:w="1251" w:type="dxa"/>
          </w:tcPr>
          <w:p w14:paraId="723C511F" w14:textId="0D06F88E" w:rsidR="00BB2BC1" w:rsidRDefault="00BB2BC1" w:rsidP="00193B92">
            <w:pPr>
              <w:spacing w:line="360" w:lineRule="auto"/>
              <w:rPr>
                <w:rFonts w:cs="Arial"/>
              </w:rPr>
            </w:pPr>
            <w:r>
              <w:rPr>
                <w:rFonts w:cs="Arial"/>
              </w:rPr>
              <w:t xml:space="preserve">Table </w:t>
            </w:r>
            <w:r w:rsidR="00BB0865">
              <w:rPr>
                <w:rFonts w:cs="Arial"/>
              </w:rPr>
              <w:t>10</w:t>
            </w:r>
            <w:r w:rsidRPr="001803FA">
              <w:rPr>
                <w:rFonts w:cs="Arial"/>
              </w:rPr>
              <w:t>:</w:t>
            </w:r>
          </w:p>
        </w:tc>
        <w:tc>
          <w:tcPr>
            <w:tcW w:w="7490" w:type="dxa"/>
          </w:tcPr>
          <w:p w14:paraId="0F00F4B9" w14:textId="7D3EF0F1" w:rsidR="00BB2BC1" w:rsidRDefault="006A59F3" w:rsidP="00525E54">
            <w:pPr>
              <w:spacing w:line="360" w:lineRule="auto"/>
              <w:rPr>
                <w:rFonts w:cs="Arial"/>
              </w:rPr>
            </w:pPr>
            <w:r>
              <w:rPr>
                <w:rFonts w:cs="Arial"/>
              </w:rPr>
              <w:t>Transactions on Government Securities in the Secondary Market</w:t>
            </w:r>
          </w:p>
        </w:tc>
        <w:tc>
          <w:tcPr>
            <w:tcW w:w="835" w:type="dxa"/>
          </w:tcPr>
          <w:p w14:paraId="32B90465" w14:textId="00BEF1FE" w:rsidR="00BB2BC1" w:rsidRDefault="00400FBD" w:rsidP="002E25B6">
            <w:pPr>
              <w:spacing w:line="360" w:lineRule="auto"/>
              <w:jc w:val="right"/>
              <w:rPr>
                <w:rFonts w:cs="Arial"/>
              </w:rPr>
            </w:pPr>
            <w:r>
              <w:rPr>
                <w:rFonts w:cs="Arial"/>
              </w:rPr>
              <w:t>16</w:t>
            </w:r>
          </w:p>
        </w:tc>
      </w:tr>
      <w:tr w:rsidR="00885C5E" w14:paraId="50013BD8" w14:textId="77777777" w:rsidTr="006265E4">
        <w:trPr>
          <w:trHeight w:hRule="exact" w:val="418"/>
        </w:trPr>
        <w:tc>
          <w:tcPr>
            <w:tcW w:w="1251" w:type="dxa"/>
          </w:tcPr>
          <w:p w14:paraId="1FB7E8F7" w14:textId="192BF22E" w:rsidR="00885C5E" w:rsidRDefault="00885C5E" w:rsidP="00193B92">
            <w:pPr>
              <w:spacing w:line="360" w:lineRule="auto"/>
              <w:rPr>
                <w:rFonts w:cs="Arial"/>
              </w:rPr>
            </w:pPr>
            <w:r>
              <w:rPr>
                <w:rFonts w:cs="Arial"/>
              </w:rPr>
              <w:t xml:space="preserve">Table </w:t>
            </w:r>
            <w:r w:rsidR="00BB0865">
              <w:rPr>
                <w:rFonts w:cs="Arial"/>
              </w:rPr>
              <w:t>11</w:t>
            </w:r>
            <w:r>
              <w:rPr>
                <w:rFonts w:cs="Arial"/>
              </w:rPr>
              <w:t>:</w:t>
            </w:r>
          </w:p>
        </w:tc>
        <w:tc>
          <w:tcPr>
            <w:tcW w:w="7490" w:type="dxa"/>
          </w:tcPr>
          <w:p w14:paraId="6D711DD9" w14:textId="2B86272E" w:rsidR="00885C5E" w:rsidRDefault="00885C5E" w:rsidP="00525E54">
            <w:pPr>
              <w:spacing w:line="360" w:lineRule="auto"/>
              <w:rPr>
                <w:rFonts w:cs="Arial"/>
              </w:rPr>
            </w:pPr>
            <w:r>
              <w:rPr>
                <w:rFonts w:cs="Arial"/>
              </w:rPr>
              <w:t>Options for Eurobond Redemption</w:t>
            </w:r>
          </w:p>
        </w:tc>
        <w:tc>
          <w:tcPr>
            <w:tcW w:w="835" w:type="dxa"/>
          </w:tcPr>
          <w:p w14:paraId="27931109" w14:textId="77777777" w:rsidR="00885C5E" w:rsidRDefault="00885C5E" w:rsidP="002E25B6">
            <w:pPr>
              <w:spacing w:line="360" w:lineRule="auto"/>
              <w:jc w:val="right"/>
              <w:rPr>
                <w:rFonts w:cs="Arial"/>
              </w:rPr>
            </w:pPr>
          </w:p>
        </w:tc>
      </w:tr>
      <w:tr w:rsidR="00885C5E" w14:paraId="7712C4FE" w14:textId="77777777" w:rsidTr="006265E4">
        <w:trPr>
          <w:trHeight w:hRule="exact" w:val="418"/>
        </w:trPr>
        <w:tc>
          <w:tcPr>
            <w:tcW w:w="1251" w:type="dxa"/>
          </w:tcPr>
          <w:p w14:paraId="2887DAF7" w14:textId="15036C62" w:rsidR="00885C5E" w:rsidRDefault="00885C5E" w:rsidP="00193B92">
            <w:pPr>
              <w:spacing w:line="360" w:lineRule="auto"/>
              <w:rPr>
                <w:rFonts w:cs="Arial"/>
              </w:rPr>
            </w:pPr>
            <w:r>
              <w:rPr>
                <w:rFonts w:cs="Arial"/>
              </w:rPr>
              <w:t xml:space="preserve">Table </w:t>
            </w:r>
            <w:r w:rsidR="00BB0865">
              <w:rPr>
                <w:rFonts w:cs="Arial"/>
              </w:rPr>
              <w:t>12</w:t>
            </w:r>
            <w:r>
              <w:rPr>
                <w:rFonts w:cs="Arial"/>
              </w:rPr>
              <w:t>:</w:t>
            </w:r>
          </w:p>
        </w:tc>
        <w:tc>
          <w:tcPr>
            <w:tcW w:w="7490" w:type="dxa"/>
          </w:tcPr>
          <w:p w14:paraId="7EE80035" w14:textId="52DD6ED6" w:rsidR="00885C5E" w:rsidRDefault="00885C5E" w:rsidP="00525E54">
            <w:pPr>
              <w:spacing w:line="360" w:lineRule="auto"/>
              <w:rPr>
                <w:rFonts w:cs="Arial"/>
              </w:rPr>
            </w:pPr>
            <w:r>
              <w:rPr>
                <w:rFonts w:cs="Arial"/>
              </w:rPr>
              <w:t>Impact Analysis of Various Options</w:t>
            </w:r>
          </w:p>
        </w:tc>
        <w:tc>
          <w:tcPr>
            <w:tcW w:w="835" w:type="dxa"/>
          </w:tcPr>
          <w:p w14:paraId="255CE03A" w14:textId="77777777" w:rsidR="00885C5E" w:rsidRDefault="00885C5E" w:rsidP="002E25B6">
            <w:pPr>
              <w:spacing w:line="360" w:lineRule="auto"/>
              <w:jc w:val="right"/>
              <w:rPr>
                <w:rFonts w:cs="Arial"/>
              </w:rPr>
            </w:pPr>
          </w:p>
        </w:tc>
      </w:tr>
      <w:tr w:rsidR="006265E4" w14:paraId="381FED73" w14:textId="77777777" w:rsidTr="006265E4">
        <w:trPr>
          <w:trHeight w:hRule="exact" w:val="418"/>
        </w:trPr>
        <w:tc>
          <w:tcPr>
            <w:tcW w:w="1251" w:type="dxa"/>
          </w:tcPr>
          <w:p w14:paraId="15BD4C03" w14:textId="5F7A14A2" w:rsidR="006265E4" w:rsidRDefault="006265E4" w:rsidP="00193B92">
            <w:pPr>
              <w:spacing w:line="360" w:lineRule="auto"/>
              <w:rPr>
                <w:rFonts w:cs="Arial"/>
              </w:rPr>
            </w:pPr>
            <w:r>
              <w:rPr>
                <w:rFonts w:cs="Arial"/>
              </w:rPr>
              <w:t>Table</w:t>
            </w:r>
            <w:r w:rsidR="00BB0865">
              <w:rPr>
                <w:rFonts w:cs="Arial"/>
              </w:rPr>
              <w:t xml:space="preserve"> 13</w:t>
            </w:r>
            <w:r>
              <w:rPr>
                <w:rFonts w:cs="Arial"/>
              </w:rPr>
              <w:t xml:space="preserve"> </w:t>
            </w:r>
            <w:r w:rsidR="00885C5E">
              <w:rPr>
                <w:rFonts w:cs="Arial"/>
              </w:rPr>
              <w:t>12</w:t>
            </w:r>
            <w:r>
              <w:rPr>
                <w:rFonts w:cs="Arial"/>
              </w:rPr>
              <w:t>:</w:t>
            </w:r>
            <w:r w:rsidR="00BB0865">
              <w:rPr>
                <w:rFonts w:cs="Arial"/>
              </w:rPr>
              <w:t xml:space="preserve"> 1</w:t>
            </w:r>
          </w:p>
        </w:tc>
        <w:tc>
          <w:tcPr>
            <w:tcW w:w="7490" w:type="dxa"/>
          </w:tcPr>
          <w:p w14:paraId="1A19D407" w14:textId="3230A277" w:rsidR="006265E4" w:rsidRDefault="006265E4" w:rsidP="00525E54">
            <w:pPr>
              <w:spacing w:line="360" w:lineRule="auto"/>
              <w:rPr>
                <w:rFonts w:cs="Arial"/>
              </w:rPr>
            </w:pPr>
            <w:r>
              <w:rPr>
                <w:rFonts w:cs="Arial"/>
              </w:rPr>
              <w:t>List of Stakeholder Consultations_________________________________</w:t>
            </w:r>
          </w:p>
        </w:tc>
        <w:tc>
          <w:tcPr>
            <w:tcW w:w="835" w:type="dxa"/>
          </w:tcPr>
          <w:p w14:paraId="6BE7D694" w14:textId="434F5B60" w:rsidR="006265E4" w:rsidRDefault="00400FBD" w:rsidP="002E25B6">
            <w:pPr>
              <w:spacing w:line="360" w:lineRule="auto"/>
              <w:jc w:val="right"/>
              <w:rPr>
                <w:rFonts w:cs="Arial"/>
              </w:rPr>
            </w:pPr>
            <w:r>
              <w:rPr>
                <w:rFonts w:cs="Arial"/>
              </w:rPr>
              <w:t>23</w:t>
            </w:r>
          </w:p>
        </w:tc>
      </w:tr>
      <w:tr w:rsidR="006265E4" w14:paraId="7E8B4952" w14:textId="77777777" w:rsidTr="006265E4">
        <w:trPr>
          <w:trHeight w:hRule="exact" w:val="418"/>
        </w:trPr>
        <w:tc>
          <w:tcPr>
            <w:tcW w:w="1251" w:type="dxa"/>
          </w:tcPr>
          <w:p w14:paraId="39C0FC53" w14:textId="69767BC4" w:rsidR="006265E4" w:rsidRDefault="006265E4" w:rsidP="00193B92">
            <w:pPr>
              <w:spacing w:line="360" w:lineRule="auto"/>
              <w:rPr>
                <w:rFonts w:cs="Arial"/>
              </w:rPr>
            </w:pPr>
            <w:r>
              <w:rPr>
                <w:rFonts w:cs="Arial"/>
              </w:rPr>
              <w:t>Table</w:t>
            </w:r>
            <w:r w:rsidR="00BB0865">
              <w:rPr>
                <w:rFonts w:cs="Arial"/>
              </w:rPr>
              <w:t xml:space="preserve"> 14</w:t>
            </w:r>
            <w:r>
              <w:rPr>
                <w:rFonts w:cs="Arial"/>
              </w:rPr>
              <w:t xml:space="preserve"> </w:t>
            </w:r>
            <w:r w:rsidR="00885C5E">
              <w:rPr>
                <w:rFonts w:cs="Arial"/>
              </w:rPr>
              <w:t>13</w:t>
            </w:r>
            <w:r>
              <w:rPr>
                <w:rFonts w:cs="Arial"/>
              </w:rPr>
              <w:t>:</w:t>
            </w:r>
          </w:p>
        </w:tc>
        <w:tc>
          <w:tcPr>
            <w:tcW w:w="7490" w:type="dxa"/>
          </w:tcPr>
          <w:p w14:paraId="3B9CDB76" w14:textId="293F3350" w:rsidR="006265E4" w:rsidRDefault="006265E4" w:rsidP="00525E54">
            <w:pPr>
              <w:spacing w:line="360" w:lineRule="auto"/>
              <w:rPr>
                <w:rFonts w:cs="Arial"/>
              </w:rPr>
            </w:pPr>
            <w:r>
              <w:rPr>
                <w:rFonts w:cs="Arial"/>
              </w:rPr>
              <w:t>List of Documents Received_____________________________________</w:t>
            </w:r>
          </w:p>
        </w:tc>
        <w:tc>
          <w:tcPr>
            <w:tcW w:w="835" w:type="dxa"/>
          </w:tcPr>
          <w:p w14:paraId="0B9C1982" w14:textId="1E572042" w:rsidR="006265E4" w:rsidRDefault="00400FBD" w:rsidP="002E25B6">
            <w:pPr>
              <w:spacing w:line="360" w:lineRule="auto"/>
              <w:jc w:val="right"/>
              <w:rPr>
                <w:rFonts w:cs="Arial"/>
              </w:rPr>
            </w:pPr>
            <w:r>
              <w:rPr>
                <w:rFonts w:cs="Arial"/>
              </w:rPr>
              <w:t>23</w:t>
            </w:r>
          </w:p>
        </w:tc>
      </w:tr>
    </w:tbl>
    <w:p w14:paraId="3DD86F9E" w14:textId="61716850" w:rsidR="00722174" w:rsidRPr="00722174" w:rsidRDefault="002E25B6" w:rsidP="00E54A70">
      <w:pPr>
        <w:rPr>
          <w:rFonts w:cs="Arial"/>
          <w:b/>
          <w:sz w:val="24"/>
          <w:szCs w:val="24"/>
        </w:rPr>
      </w:pPr>
      <w:r>
        <w:rPr>
          <w:rFonts w:cs="Arial"/>
          <w:b/>
          <w:sz w:val="24"/>
          <w:szCs w:val="24"/>
        </w:rPr>
        <w:t xml:space="preserve"> </w:t>
      </w:r>
    </w:p>
    <w:p w14:paraId="231558D4" w14:textId="77777777" w:rsidR="00193B92" w:rsidRPr="00193B92" w:rsidRDefault="00193B92" w:rsidP="00193B92">
      <w:pPr>
        <w:rPr>
          <w:rFonts w:cs="Arial"/>
          <w:b/>
          <w:sz w:val="24"/>
          <w:szCs w:val="24"/>
        </w:rPr>
        <w:sectPr w:rsidR="00193B92" w:rsidRPr="00193B92" w:rsidSect="00D84E07">
          <w:pgSz w:w="12240" w:h="15840"/>
          <w:pgMar w:top="1440" w:right="1440" w:bottom="1440" w:left="1440" w:header="720" w:footer="720" w:gutter="0"/>
          <w:pgNumType w:fmt="lowerRoman" w:start="1"/>
          <w:cols w:space="720"/>
          <w:titlePg/>
          <w:docGrid w:linePitch="360"/>
        </w:sectPr>
      </w:pPr>
    </w:p>
    <w:p w14:paraId="6A6829A4" w14:textId="77777777" w:rsidR="009545C3" w:rsidRPr="00E54A70" w:rsidRDefault="009545C3" w:rsidP="00466D0E">
      <w:pPr>
        <w:pStyle w:val="Topic1"/>
      </w:pPr>
      <w:bookmarkStart w:id="0" w:name="_Toc506537576"/>
      <w:r w:rsidRPr="00E54A70">
        <w:lastRenderedPageBreak/>
        <w:t>INTRODUCTION</w:t>
      </w:r>
      <w:bookmarkEnd w:id="0"/>
      <w:r w:rsidRPr="00E54A70">
        <w:t xml:space="preserve"> </w:t>
      </w:r>
    </w:p>
    <w:p w14:paraId="39126DFE" w14:textId="77777777" w:rsidR="009545C3" w:rsidRPr="00E54A70" w:rsidRDefault="009545C3" w:rsidP="009545C3">
      <w:pPr>
        <w:pStyle w:val="ListParagraph"/>
        <w:ind w:left="360"/>
        <w:rPr>
          <w:rFonts w:cs="Arial"/>
          <w:b/>
        </w:rPr>
      </w:pPr>
    </w:p>
    <w:p w14:paraId="131274F4" w14:textId="77777777" w:rsidR="009545C3" w:rsidRPr="00E54A70" w:rsidRDefault="009545C3" w:rsidP="00466D0E">
      <w:pPr>
        <w:pStyle w:val="Topic2"/>
      </w:pPr>
      <w:bookmarkStart w:id="1" w:name="_Toc506537577"/>
      <w:r w:rsidRPr="00E54A70">
        <w:t>Country Background</w:t>
      </w:r>
      <w:bookmarkEnd w:id="1"/>
    </w:p>
    <w:p w14:paraId="461D79A6" w14:textId="77777777" w:rsidR="009545C3" w:rsidRPr="00E54A70" w:rsidRDefault="009545C3" w:rsidP="009545C3">
      <w:pPr>
        <w:rPr>
          <w:rFonts w:cs="Arial"/>
          <w:b/>
        </w:rPr>
      </w:pPr>
    </w:p>
    <w:p w14:paraId="73D0BA4E" w14:textId="77777777" w:rsidR="009545C3" w:rsidRDefault="009545C3" w:rsidP="009545C3">
      <w:pPr>
        <w:pStyle w:val="ListParagraph"/>
        <w:numPr>
          <w:ilvl w:val="0"/>
          <w:numId w:val="3"/>
        </w:numPr>
        <w:jc w:val="both"/>
        <w:rPr>
          <w:rFonts w:cs="Arial"/>
        </w:rPr>
      </w:pPr>
      <w:r w:rsidRPr="002065CA">
        <w:rPr>
          <w:rFonts w:cs="Arial"/>
        </w:rPr>
        <w:t>The Asian Development Bank (ADB) is supporting</w:t>
      </w:r>
      <w:r>
        <w:rPr>
          <w:rFonts w:cs="Arial"/>
        </w:rPr>
        <w:t xml:space="preserve"> the Government of the Armenia (Government) </w:t>
      </w:r>
      <w:r w:rsidRPr="002065CA">
        <w:rPr>
          <w:rFonts w:cs="Arial"/>
        </w:rPr>
        <w:t>with a Technical Assistance Program</w:t>
      </w:r>
      <w:r>
        <w:rPr>
          <w:rFonts w:cs="Arial"/>
        </w:rPr>
        <w:t xml:space="preserve"> (TA)</w:t>
      </w:r>
      <w:r w:rsidRPr="002065CA">
        <w:rPr>
          <w:rFonts w:cs="Arial"/>
        </w:rPr>
        <w:t xml:space="preserve"> TA-</w:t>
      </w:r>
      <w:r>
        <w:rPr>
          <w:rFonts w:cs="Arial"/>
        </w:rPr>
        <w:t>9332 ARM</w:t>
      </w:r>
      <w:r w:rsidRPr="002065CA">
        <w:rPr>
          <w:rFonts w:cs="Arial"/>
        </w:rPr>
        <w:t xml:space="preserve"> on Strengthening Public Debt Management </w:t>
      </w:r>
      <w:r>
        <w:rPr>
          <w:rFonts w:cs="Arial"/>
        </w:rPr>
        <w:t>as part of its Public Efficiency and Financial Markets Program</w:t>
      </w:r>
      <w:r w:rsidRPr="002065CA">
        <w:rPr>
          <w:rFonts w:cs="Arial"/>
        </w:rPr>
        <w:t>.</w:t>
      </w:r>
    </w:p>
    <w:p w14:paraId="29883CD8" w14:textId="77777777" w:rsidR="009545C3" w:rsidRDefault="009545C3" w:rsidP="009545C3">
      <w:pPr>
        <w:pStyle w:val="ListParagraph"/>
        <w:ind w:left="360"/>
        <w:jc w:val="both"/>
        <w:rPr>
          <w:rFonts w:cs="Arial"/>
        </w:rPr>
      </w:pPr>
    </w:p>
    <w:p w14:paraId="6A9303B5" w14:textId="54779EE3" w:rsidR="009545C3" w:rsidRDefault="009545C3" w:rsidP="009545C3">
      <w:pPr>
        <w:pStyle w:val="ListParagraph"/>
        <w:numPr>
          <w:ilvl w:val="0"/>
          <w:numId w:val="3"/>
        </w:numPr>
        <w:jc w:val="both"/>
        <w:rPr>
          <w:rFonts w:cs="Arial"/>
        </w:rPr>
      </w:pPr>
      <w:r w:rsidRPr="00757238">
        <w:rPr>
          <w:rFonts w:eastAsiaTheme="minorHAnsi" w:cs="Arial"/>
          <w:lang w:val="en-GB" w:eastAsia="en-US"/>
        </w:rPr>
        <w:t xml:space="preserve">As a small, landlocked economy, Armenia </w:t>
      </w:r>
      <w:proofErr w:type="gramStart"/>
      <w:r w:rsidRPr="00757238">
        <w:rPr>
          <w:rFonts w:eastAsiaTheme="minorHAnsi" w:cs="Arial"/>
          <w:lang w:val="en-GB" w:eastAsia="en-US"/>
        </w:rPr>
        <w:t>is exposed</w:t>
      </w:r>
      <w:proofErr w:type="gramEnd"/>
      <w:r w:rsidRPr="00757238">
        <w:rPr>
          <w:rFonts w:eastAsiaTheme="minorHAnsi" w:cs="Arial"/>
          <w:lang w:val="en-GB" w:eastAsia="en-US"/>
        </w:rPr>
        <w:t xml:space="preserve"> to external shocks.</w:t>
      </w:r>
      <w:r>
        <w:rPr>
          <w:rFonts w:eastAsiaTheme="minorHAnsi" w:cs="Arial"/>
          <w:lang w:val="en-GB" w:eastAsia="en-US"/>
        </w:rPr>
        <w:t xml:space="preserve"> </w:t>
      </w:r>
      <w:r>
        <w:rPr>
          <w:rFonts w:cs="Arial"/>
        </w:rPr>
        <w:t xml:space="preserve">Armenia’s real Gross Domestic Product (GDP) </w:t>
      </w:r>
      <w:r w:rsidRPr="006E3A1A">
        <w:rPr>
          <w:rFonts w:cs="Arial"/>
        </w:rPr>
        <w:t xml:space="preserve">growth is expected to </w:t>
      </w:r>
      <w:r>
        <w:rPr>
          <w:rFonts w:cs="Arial"/>
        </w:rPr>
        <w:t xml:space="preserve">revive to </w:t>
      </w:r>
      <w:r w:rsidR="00613491">
        <w:rPr>
          <w:rFonts w:cs="Arial"/>
        </w:rPr>
        <w:t>7.5</w:t>
      </w:r>
      <w:r>
        <w:rPr>
          <w:rFonts w:cs="Arial"/>
        </w:rPr>
        <w:t xml:space="preserve"> percent in 2017 after stagnating to 0.2 percent in 2016 following a slowdown since 2013 (Table 1)</w:t>
      </w:r>
      <w:r>
        <w:rPr>
          <w:rStyle w:val="FootnoteReference"/>
          <w:rFonts w:cs="Arial"/>
        </w:rPr>
        <w:footnoteReference w:id="1"/>
      </w:r>
      <w:r>
        <w:rPr>
          <w:rFonts w:cs="Arial"/>
        </w:rPr>
        <w:t xml:space="preserve">.  A combination of low commodity prices of copper, slowdown in growth of its main trading partners including Russia and declining remittances </w:t>
      </w:r>
      <w:proofErr w:type="gramStart"/>
      <w:r>
        <w:rPr>
          <w:rFonts w:cs="Arial"/>
        </w:rPr>
        <w:t>impacted</w:t>
      </w:r>
      <w:proofErr w:type="gramEnd"/>
      <w:r>
        <w:rPr>
          <w:rFonts w:cs="Arial"/>
        </w:rPr>
        <w:t xml:space="preserve"> Armenia’s macroeconomic stability in recent years</w:t>
      </w:r>
      <w:r>
        <w:rPr>
          <w:rStyle w:val="FootnoteReference"/>
          <w:rFonts w:cs="Arial"/>
        </w:rPr>
        <w:footnoteReference w:id="2"/>
      </w:r>
      <w:r w:rsidRPr="006E3A1A">
        <w:rPr>
          <w:rFonts w:cs="Arial"/>
        </w:rPr>
        <w:t>.</w:t>
      </w:r>
      <w:r>
        <w:rPr>
          <w:rFonts w:cs="Arial"/>
        </w:rPr>
        <w:t xml:space="preserve"> </w:t>
      </w:r>
    </w:p>
    <w:p w14:paraId="25021D68" w14:textId="77777777" w:rsidR="009545C3" w:rsidRPr="00221308" w:rsidRDefault="009545C3" w:rsidP="009545C3">
      <w:pPr>
        <w:pStyle w:val="ListParagraph"/>
        <w:rPr>
          <w:rFonts w:eastAsiaTheme="minorHAnsi" w:cs="Arial"/>
          <w:lang w:val="en-GB" w:eastAsia="en-US"/>
        </w:rPr>
      </w:pPr>
    </w:p>
    <w:p w14:paraId="5D2EF2C6" w14:textId="77777777" w:rsidR="009545C3" w:rsidRDefault="009545C3" w:rsidP="009545C3">
      <w:pPr>
        <w:pStyle w:val="ListParagraph"/>
        <w:numPr>
          <w:ilvl w:val="0"/>
          <w:numId w:val="3"/>
        </w:numPr>
        <w:jc w:val="both"/>
        <w:rPr>
          <w:rFonts w:cs="Arial"/>
        </w:rPr>
      </w:pPr>
      <w:r w:rsidRPr="00757238">
        <w:rPr>
          <w:rFonts w:eastAsiaTheme="minorHAnsi" w:cs="Arial"/>
          <w:lang w:val="en-GB" w:eastAsia="en-US"/>
        </w:rPr>
        <w:t xml:space="preserve">This </w:t>
      </w:r>
      <w:proofErr w:type="gramStart"/>
      <w:r w:rsidRPr="00757238">
        <w:rPr>
          <w:rFonts w:eastAsiaTheme="minorHAnsi" w:cs="Arial"/>
          <w:lang w:val="en-GB" w:eastAsia="en-US"/>
        </w:rPr>
        <w:t>externally-driven</w:t>
      </w:r>
      <w:proofErr w:type="gramEnd"/>
      <w:r w:rsidRPr="00757238">
        <w:rPr>
          <w:rFonts w:eastAsiaTheme="minorHAnsi" w:cs="Arial"/>
          <w:lang w:val="en-GB" w:eastAsia="en-US"/>
        </w:rPr>
        <w:t xml:space="preserve"> macroeconomic volatility strain</w:t>
      </w:r>
      <w:r>
        <w:rPr>
          <w:rFonts w:eastAsiaTheme="minorHAnsi" w:cs="Arial"/>
          <w:lang w:val="en-GB" w:eastAsia="en-US"/>
        </w:rPr>
        <w:t>ed</w:t>
      </w:r>
      <w:r w:rsidRPr="00757238">
        <w:rPr>
          <w:rFonts w:eastAsiaTheme="minorHAnsi" w:cs="Arial"/>
          <w:lang w:val="en-GB" w:eastAsia="en-US"/>
        </w:rPr>
        <w:t xml:space="preserve"> the conduct of fiscal policy, compounded by relatively low tax revenues and ensuing thin discretionary spending buffers.</w:t>
      </w:r>
      <w:r>
        <w:rPr>
          <w:rFonts w:eastAsiaTheme="minorHAnsi" w:cs="Arial"/>
          <w:lang w:val="en-GB" w:eastAsia="en-US"/>
        </w:rPr>
        <w:t xml:space="preserve"> </w:t>
      </w:r>
      <w:r>
        <w:rPr>
          <w:rFonts w:cs="Arial"/>
        </w:rPr>
        <w:t xml:space="preserve">Fiscal deficit swelled to 5.5 percent of GDP in 2016 due to countercyclical fiscal policies supported by expansionary monetary policy, leading to a fiscal consolidation program in </w:t>
      </w:r>
      <w:proofErr w:type="gramStart"/>
      <w:r>
        <w:rPr>
          <w:rFonts w:cs="Arial"/>
        </w:rPr>
        <w:t>2017 which</w:t>
      </w:r>
      <w:proofErr w:type="gramEnd"/>
      <w:r>
        <w:rPr>
          <w:rFonts w:cs="Arial"/>
        </w:rPr>
        <w:t xml:space="preserve"> aims to limit fiscal deficit to 2.7 percent of GDP by 2018. Current account deficit </w:t>
      </w:r>
      <w:proofErr w:type="gramStart"/>
      <w:r>
        <w:rPr>
          <w:rFonts w:cs="Arial"/>
        </w:rPr>
        <w:t>is projected</w:t>
      </w:r>
      <w:proofErr w:type="gramEnd"/>
      <w:r>
        <w:rPr>
          <w:rFonts w:cs="Arial"/>
        </w:rPr>
        <w:t xml:space="preserve"> to widen moderately after contracting to a historical low of 2.4 percent of GDP in 2016. The level of forex </w:t>
      </w:r>
      <w:proofErr w:type="gramStart"/>
      <w:r>
        <w:rPr>
          <w:rFonts w:cs="Arial"/>
        </w:rPr>
        <w:t>reserves which increased to 5.8 months of imports in 2016</w:t>
      </w:r>
      <w:proofErr w:type="gramEnd"/>
      <w:r>
        <w:rPr>
          <w:rFonts w:cs="Arial"/>
        </w:rPr>
        <w:t xml:space="preserve"> is projected to decline to 5.1 months by 2018.        </w:t>
      </w:r>
      <w:r w:rsidRPr="006E3A1A">
        <w:rPr>
          <w:rFonts w:cs="Arial"/>
        </w:rPr>
        <w:t xml:space="preserve"> </w:t>
      </w:r>
    </w:p>
    <w:p w14:paraId="6D248785" w14:textId="77777777" w:rsidR="009545C3" w:rsidRPr="003A62A8" w:rsidRDefault="009545C3" w:rsidP="009545C3">
      <w:pPr>
        <w:pStyle w:val="ListParagraph"/>
        <w:rPr>
          <w:rFonts w:cs="Arial"/>
        </w:rPr>
      </w:pPr>
    </w:p>
    <w:p w14:paraId="4C4DB68F" w14:textId="77777777" w:rsidR="002832EB" w:rsidRPr="00B148B3" w:rsidRDefault="002832EB" w:rsidP="002832EB">
      <w:pPr>
        <w:jc w:val="both"/>
        <w:rPr>
          <w:rFonts w:cs="Arial"/>
        </w:rPr>
      </w:pPr>
      <w:r w:rsidRPr="00B148B3">
        <w:rPr>
          <w:rFonts w:cs="Arial"/>
        </w:rPr>
        <w:t xml:space="preserve">Table 1: Macroeconomic Indicators for Armenia </w:t>
      </w:r>
    </w:p>
    <w:tbl>
      <w:tblPr>
        <w:tblW w:w="975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9"/>
        <w:gridCol w:w="2386"/>
        <w:gridCol w:w="986"/>
        <w:gridCol w:w="986"/>
        <w:gridCol w:w="986"/>
        <w:gridCol w:w="986"/>
        <w:gridCol w:w="986"/>
      </w:tblGrid>
      <w:tr w:rsidR="009545C3" w:rsidRPr="00BC6D43" w14:paraId="4BBE7F3D" w14:textId="77777777" w:rsidTr="00F528C6">
        <w:trPr>
          <w:trHeight w:val="315"/>
        </w:trPr>
        <w:tc>
          <w:tcPr>
            <w:tcW w:w="2439" w:type="dxa"/>
            <w:tcBorders>
              <w:top w:val="single" w:sz="4" w:space="0" w:color="auto"/>
              <w:bottom w:val="single" w:sz="4" w:space="0" w:color="auto"/>
              <w:right w:val="single" w:sz="4" w:space="0" w:color="auto"/>
            </w:tcBorders>
            <w:shd w:val="clear" w:color="auto" w:fill="auto"/>
            <w:noWrap/>
            <w:vAlign w:val="bottom"/>
            <w:hideMark/>
          </w:tcPr>
          <w:p w14:paraId="3820DEF7" w14:textId="77777777" w:rsidR="009545C3" w:rsidRPr="00BC6D43" w:rsidRDefault="009545C3" w:rsidP="00F528C6">
            <w:pPr>
              <w:rPr>
                <w:rFonts w:ascii="Calibri" w:eastAsia="Times New Roman" w:hAnsi="Calibri" w:cs="Calibri"/>
                <w:b/>
                <w:color w:val="000000"/>
                <w:lang w:eastAsia="en-GB"/>
              </w:rPr>
            </w:pPr>
            <w:r w:rsidRPr="00BC6D43">
              <w:rPr>
                <w:rFonts w:ascii="Calibri" w:eastAsia="Times New Roman" w:hAnsi="Calibri" w:cs="Calibri"/>
                <w:b/>
                <w:color w:val="000000"/>
                <w:lang w:eastAsia="en-GB"/>
              </w:rPr>
              <w:t>Variable</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8298" w14:textId="77777777" w:rsidR="009545C3" w:rsidRPr="00BC6D43" w:rsidRDefault="009545C3" w:rsidP="00F528C6">
            <w:pPr>
              <w:rPr>
                <w:rFonts w:ascii="Calibri" w:eastAsia="Times New Roman" w:hAnsi="Calibri" w:cs="Calibri"/>
                <w:b/>
                <w:color w:val="000000"/>
                <w:lang w:eastAsia="en-GB"/>
              </w:rPr>
            </w:pPr>
            <w:r w:rsidRPr="00BC6D43">
              <w:rPr>
                <w:rFonts w:ascii="Calibri" w:eastAsia="Times New Roman" w:hAnsi="Calibri" w:cs="Calibri"/>
                <w:b/>
                <w:color w:val="000000"/>
                <w:lang w:eastAsia="en-GB"/>
              </w:rPr>
              <w:t>Unit</w:t>
            </w:r>
          </w:p>
        </w:tc>
        <w:tc>
          <w:tcPr>
            <w:tcW w:w="986" w:type="dxa"/>
            <w:tcBorders>
              <w:top w:val="single" w:sz="4" w:space="0" w:color="auto"/>
              <w:left w:val="single" w:sz="4" w:space="0" w:color="auto"/>
              <w:bottom w:val="single" w:sz="4" w:space="0" w:color="auto"/>
            </w:tcBorders>
            <w:shd w:val="clear" w:color="auto" w:fill="auto"/>
            <w:noWrap/>
            <w:vAlign w:val="bottom"/>
            <w:hideMark/>
          </w:tcPr>
          <w:p w14:paraId="5A9CEB64" w14:textId="77777777" w:rsidR="009545C3" w:rsidRPr="00BC6D43" w:rsidRDefault="009545C3" w:rsidP="00F528C6">
            <w:pPr>
              <w:jc w:val="right"/>
              <w:rPr>
                <w:rFonts w:ascii="Calibri" w:eastAsia="Times New Roman" w:hAnsi="Calibri" w:cs="Calibri"/>
                <w:b/>
                <w:color w:val="000000"/>
                <w:lang w:eastAsia="en-GB"/>
              </w:rPr>
            </w:pPr>
            <w:r w:rsidRPr="00BC6D43">
              <w:rPr>
                <w:rFonts w:ascii="Calibri" w:eastAsia="Times New Roman" w:hAnsi="Calibri" w:cs="Calibri"/>
                <w:b/>
                <w:color w:val="000000"/>
                <w:lang w:eastAsia="en-GB"/>
              </w:rPr>
              <w:t>2014</w:t>
            </w:r>
          </w:p>
        </w:tc>
        <w:tc>
          <w:tcPr>
            <w:tcW w:w="986" w:type="dxa"/>
            <w:tcBorders>
              <w:top w:val="single" w:sz="4" w:space="0" w:color="auto"/>
              <w:bottom w:val="single" w:sz="4" w:space="0" w:color="auto"/>
            </w:tcBorders>
            <w:shd w:val="clear" w:color="auto" w:fill="auto"/>
            <w:noWrap/>
            <w:vAlign w:val="bottom"/>
            <w:hideMark/>
          </w:tcPr>
          <w:p w14:paraId="50FF43ED" w14:textId="77777777" w:rsidR="009545C3" w:rsidRPr="00BC6D43" w:rsidRDefault="009545C3" w:rsidP="00F528C6">
            <w:pPr>
              <w:jc w:val="right"/>
              <w:rPr>
                <w:rFonts w:ascii="Calibri" w:eastAsia="Times New Roman" w:hAnsi="Calibri" w:cs="Calibri"/>
                <w:b/>
                <w:color w:val="000000"/>
                <w:lang w:eastAsia="en-GB"/>
              </w:rPr>
            </w:pPr>
            <w:r w:rsidRPr="00BC6D43">
              <w:rPr>
                <w:rFonts w:ascii="Calibri" w:eastAsia="Times New Roman" w:hAnsi="Calibri" w:cs="Calibri"/>
                <w:b/>
                <w:color w:val="000000"/>
                <w:lang w:eastAsia="en-GB"/>
              </w:rPr>
              <w:t>2015</w:t>
            </w:r>
          </w:p>
        </w:tc>
        <w:tc>
          <w:tcPr>
            <w:tcW w:w="986" w:type="dxa"/>
            <w:tcBorders>
              <w:top w:val="single" w:sz="4" w:space="0" w:color="auto"/>
              <w:bottom w:val="single" w:sz="4" w:space="0" w:color="auto"/>
            </w:tcBorders>
            <w:shd w:val="clear" w:color="auto" w:fill="auto"/>
            <w:noWrap/>
            <w:vAlign w:val="bottom"/>
            <w:hideMark/>
          </w:tcPr>
          <w:p w14:paraId="6BDDCAD0" w14:textId="77777777" w:rsidR="009545C3" w:rsidRPr="00BC6D43" w:rsidRDefault="009545C3" w:rsidP="00F528C6">
            <w:pPr>
              <w:jc w:val="right"/>
              <w:rPr>
                <w:rFonts w:ascii="Calibri" w:eastAsia="Times New Roman" w:hAnsi="Calibri" w:cs="Calibri"/>
                <w:b/>
                <w:color w:val="000000"/>
                <w:lang w:eastAsia="en-GB"/>
              </w:rPr>
            </w:pPr>
            <w:r w:rsidRPr="00BC6D43">
              <w:rPr>
                <w:rFonts w:ascii="Calibri" w:eastAsia="Times New Roman" w:hAnsi="Calibri" w:cs="Calibri"/>
                <w:b/>
                <w:color w:val="000000"/>
                <w:lang w:eastAsia="en-GB"/>
              </w:rPr>
              <w:t>2016</w:t>
            </w:r>
          </w:p>
        </w:tc>
        <w:tc>
          <w:tcPr>
            <w:tcW w:w="986" w:type="dxa"/>
            <w:tcBorders>
              <w:top w:val="single" w:sz="4" w:space="0" w:color="auto"/>
              <w:bottom w:val="single" w:sz="4" w:space="0" w:color="auto"/>
            </w:tcBorders>
            <w:shd w:val="clear" w:color="auto" w:fill="auto"/>
            <w:noWrap/>
            <w:vAlign w:val="bottom"/>
            <w:hideMark/>
          </w:tcPr>
          <w:p w14:paraId="36BA8719" w14:textId="77777777" w:rsidR="009545C3" w:rsidRPr="00BC6D43" w:rsidRDefault="009545C3" w:rsidP="00F528C6">
            <w:pPr>
              <w:jc w:val="right"/>
              <w:rPr>
                <w:rFonts w:ascii="Calibri" w:eastAsia="Times New Roman" w:hAnsi="Calibri" w:cs="Calibri"/>
                <w:b/>
                <w:color w:val="000000"/>
                <w:lang w:eastAsia="en-GB"/>
              </w:rPr>
            </w:pPr>
            <w:r w:rsidRPr="00BC6D43">
              <w:rPr>
                <w:rFonts w:ascii="Calibri" w:eastAsia="Times New Roman" w:hAnsi="Calibri" w:cs="Calibri"/>
                <w:b/>
                <w:color w:val="000000"/>
                <w:lang w:eastAsia="en-GB"/>
              </w:rPr>
              <w:t>2017</w:t>
            </w:r>
          </w:p>
        </w:tc>
        <w:tc>
          <w:tcPr>
            <w:tcW w:w="986" w:type="dxa"/>
            <w:tcBorders>
              <w:top w:val="single" w:sz="4" w:space="0" w:color="auto"/>
              <w:bottom w:val="single" w:sz="4" w:space="0" w:color="auto"/>
            </w:tcBorders>
            <w:shd w:val="clear" w:color="auto" w:fill="auto"/>
            <w:noWrap/>
            <w:vAlign w:val="bottom"/>
            <w:hideMark/>
          </w:tcPr>
          <w:p w14:paraId="2CDD9589" w14:textId="77777777" w:rsidR="009545C3" w:rsidRPr="00BC6D43" w:rsidRDefault="009545C3" w:rsidP="00F528C6">
            <w:pPr>
              <w:rPr>
                <w:rFonts w:ascii="Calibri" w:eastAsia="Times New Roman" w:hAnsi="Calibri" w:cs="Calibri"/>
                <w:b/>
                <w:color w:val="000000"/>
                <w:lang w:eastAsia="en-GB"/>
              </w:rPr>
            </w:pPr>
            <w:r w:rsidRPr="00BC6D43">
              <w:rPr>
                <w:rFonts w:ascii="Calibri" w:eastAsia="Times New Roman" w:hAnsi="Calibri" w:cs="Calibri"/>
                <w:b/>
                <w:color w:val="000000"/>
                <w:lang w:eastAsia="en-GB"/>
              </w:rPr>
              <w:t>2018*</w:t>
            </w:r>
          </w:p>
        </w:tc>
      </w:tr>
      <w:tr w:rsidR="009545C3" w:rsidRPr="00BC6D43" w14:paraId="52F623A1" w14:textId="77777777" w:rsidTr="00F528C6">
        <w:trPr>
          <w:trHeight w:val="315"/>
        </w:trPr>
        <w:tc>
          <w:tcPr>
            <w:tcW w:w="2439" w:type="dxa"/>
            <w:tcBorders>
              <w:top w:val="single" w:sz="4" w:space="0" w:color="auto"/>
              <w:right w:val="single" w:sz="4" w:space="0" w:color="auto"/>
            </w:tcBorders>
            <w:shd w:val="clear" w:color="auto" w:fill="auto"/>
            <w:noWrap/>
            <w:vAlign w:val="bottom"/>
            <w:hideMark/>
          </w:tcPr>
          <w:p w14:paraId="66241229"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Real GDP Growth</w:t>
            </w:r>
          </w:p>
        </w:tc>
        <w:tc>
          <w:tcPr>
            <w:tcW w:w="2386" w:type="dxa"/>
            <w:tcBorders>
              <w:top w:val="single" w:sz="4" w:space="0" w:color="auto"/>
              <w:left w:val="single" w:sz="4" w:space="0" w:color="auto"/>
              <w:right w:val="single" w:sz="4" w:space="0" w:color="auto"/>
            </w:tcBorders>
            <w:shd w:val="clear" w:color="auto" w:fill="auto"/>
            <w:noWrap/>
            <w:vAlign w:val="bottom"/>
            <w:hideMark/>
          </w:tcPr>
          <w:p w14:paraId="10D9A848"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w:t>
            </w:r>
          </w:p>
        </w:tc>
        <w:tc>
          <w:tcPr>
            <w:tcW w:w="986" w:type="dxa"/>
            <w:tcBorders>
              <w:top w:val="single" w:sz="4" w:space="0" w:color="auto"/>
              <w:left w:val="single" w:sz="4" w:space="0" w:color="auto"/>
            </w:tcBorders>
            <w:shd w:val="clear" w:color="auto" w:fill="auto"/>
            <w:vAlign w:val="center"/>
            <w:hideMark/>
          </w:tcPr>
          <w:p w14:paraId="09198F87"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3.6</w:t>
            </w:r>
          </w:p>
        </w:tc>
        <w:tc>
          <w:tcPr>
            <w:tcW w:w="986" w:type="dxa"/>
            <w:tcBorders>
              <w:top w:val="single" w:sz="4" w:space="0" w:color="auto"/>
            </w:tcBorders>
            <w:shd w:val="clear" w:color="auto" w:fill="auto"/>
            <w:vAlign w:val="center"/>
            <w:hideMark/>
          </w:tcPr>
          <w:p w14:paraId="34A3D874"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3.2</w:t>
            </w:r>
          </w:p>
        </w:tc>
        <w:tc>
          <w:tcPr>
            <w:tcW w:w="986" w:type="dxa"/>
            <w:tcBorders>
              <w:top w:val="single" w:sz="4" w:space="0" w:color="auto"/>
            </w:tcBorders>
            <w:shd w:val="clear" w:color="auto" w:fill="auto"/>
            <w:vAlign w:val="center"/>
            <w:hideMark/>
          </w:tcPr>
          <w:p w14:paraId="0CB3ACA4"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0.2</w:t>
            </w:r>
          </w:p>
        </w:tc>
        <w:tc>
          <w:tcPr>
            <w:tcW w:w="986" w:type="dxa"/>
            <w:tcBorders>
              <w:top w:val="single" w:sz="4" w:space="0" w:color="auto"/>
            </w:tcBorders>
            <w:shd w:val="clear" w:color="auto" w:fill="auto"/>
            <w:vAlign w:val="center"/>
            <w:hideMark/>
          </w:tcPr>
          <w:p w14:paraId="63F2C287" w14:textId="77F66948" w:rsidR="009545C3" w:rsidRPr="00BC6D43" w:rsidRDefault="00613491" w:rsidP="00F528C6">
            <w:pPr>
              <w:jc w:val="right"/>
              <w:rPr>
                <w:rFonts w:ascii="GHEA Grapalat" w:eastAsia="Times New Roman" w:hAnsi="GHEA Grapalat" w:cs="Calibri"/>
                <w:color w:val="000000"/>
                <w:lang w:eastAsia="en-GB"/>
              </w:rPr>
            </w:pPr>
            <w:r>
              <w:rPr>
                <w:rFonts w:ascii="GHEA Grapalat" w:eastAsia="Times New Roman" w:hAnsi="GHEA Grapalat" w:cs="Calibri"/>
                <w:color w:val="000000"/>
                <w:lang w:eastAsia="en-GB"/>
              </w:rPr>
              <w:t>7.5</w:t>
            </w:r>
          </w:p>
        </w:tc>
        <w:tc>
          <w:tcPr>
            <w:tcW w:w="986" w:type="dxa"/>
            <w:tcBorders>
              <w:top w:val="single" w:sz="4" w:space="0" w:color="auto"/>
            </w:tcBorders>
            <w:shd w:val="clear" w:color="auto" w:fill="auto"/>
            <w:vAlign w:val="center"/>
            <w:hideMark/>
          </w:tcPr>
          <w:p w14:paraId="731DA2A9"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4.5</w:t>
            </w:r>
          </w:p>
        </w:tc>
      </w:tr>
      <w:tr w:rsidR="009545C3" w:rsidRPr="00BC6D43" w14:paraId="270457E7" w14:textId="77777777" w:rsidTr="00F528C6">
        <w:trPr>
          <w:trHeight w:val="315"/>
        </w:trPr>
        <w:tc>
          <w:tcPr>
            <w:tcW w:w="2439" w:type="dxa"/>
            <w:tcBorders>
              <w:right w:val="single" w:sz="4" w:space="0" w:color="auto"/>
            </w:tcBorders>
            <w:shd w:val="clear" w:color="auto" w:fill="auto"/>
            <w:noWrap/>
            <w:vAlign w:val="bottom"/>
            <w:hideMark/>
          </w:tcPr>
          <w:p w14:paraId="47C1C99B"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Fiscal Balance</w:t>
            </w:r>
          </w:p>
        </w:tc>
        <w:tc>
          <w:tcPr>
            <w:tcW w:w="2386" w:type="dxa"/>
            <w:tcBorders>
              <w:left w:val="single" w:sz="4" w:space="0" w:color="auto"/>
              <w:right w:val="single" w:sz="4" w:space="0" w:color="auto"/>
            </w:tcBorders>
            <w:shd w:val="clear" w:color="auto" w:fill="auto"/>
            <w:noWrap/>
            <w:vAlign w:val="bottom"/>
            <w:hideMark/>
          </w:tcPr>
          <w:p w14:paraId="70600B49"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 of GDP</w:t>
            </w:r>
          </w:p>
        </w:tc>
        <w:tc>
          <w:tcPr>
            <w:tcW w:w="986" w:type="dxa"/>
            <w:tcBorders>
              <w:left w:val="single" w:sz="4" w:space="0" w:color="auto"/>
            </w:tcBorders>
            <w:shd w:val="clear" w:color="auto" w:fill="auto"/>
            <w:noWrap/>
            <w:vAlign w:val="bottom"/>
            <w:hideMark/>
          </w:tcPr>
          <w:p w14:paraId="2F9DD067"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-1.9</w:t>
            </w:r>
          </w:p>
        </w:tc>
        <w:tc>
          <w:tcPr>
            <w:tcW w:w="986" w:type="dxa"/>
            <w:shd w:val="clear" w:color="auto" w:fill="auto"/>
            <w:noWrap/>
            <w:vAlign w:val="bottom"/>
            <w:hideMark/>
          </w:tcPr>
          <w:p w14:paraId="5450D403"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-4.8</w:t>
            </w:r>
          </w:p>
        </w:tc>
        <w:tc>
          <w:tcPr>
            <w:tcW w:w="986" w:type="dxa"/>
            <w:shd w:val="clear" w:color="auto" w:fill="auto"/>
            <w:noWrap/>
            <w:vAlign w:val="bottom"/>
            <w:hideMark/>
          </w:tcPr>
          <w:p w14:paraId="3BE253B4"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-5.5</w:t>
            </w:r>
          </w:p>
        </w:tc>
        <w:tc>
          <w:tcPr>
            <w:tcW w:w="986" w:type="dxa"/>
            <w:shd w:val="clear" w:color="auto" w:fill="auto"/>
            <w:noWrap/>
            <w:vAlign w:val="bottom"/>
            <w:hideMark/>
          </w:tcPr>
          <w:p w14:paraId="74B1E758"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-3.3</w:t>
            </w:r>
          </w:p>
        </w:tc>
        <w:tc>
          <w:tcPr>
            <w:tcW w:w="986" w:type="dxa"/>
            <w:shd w:val="clear" w:color="auto" w:fill="auto"/>
            <w:noWrap/>
            <w:vAlign w:val="bottom"/>
            <w:hideMark/>
          </w:tcPr>
          <w:p w14:paraId="68051BB2"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-2.7</w:t>
            </w:r>
          </w:p>
        </w:tc>
      </w:tr>
      <w:tr w:rsidR="009545C3" w:rsidRPr="00BC6D43" w14:paraId="4CC55EFD" w14:textId="77777777" w:rsidTr="00F528C6">
        <w:trPr>
          <w:trHeight w:val="315"/>
        </w:trPr>
        <w:tc>
          <w:tcPr>
            <w:tcW w:w="2439" w:type="dxa"/>
            <w:tcBorders>
              <w:right w:val="single" w:sz="4" w:space="0" w:color="auto"/>
            </w:tcBorders>
            <w:shd w:val="clear" w:color="auto" w:fill="auto"/>
            <w:noWrap/>
            <w:vAlign w:val="bottom"/>
            <w:hideMark/>
          </w:tcPr>
          <w:p w14:paraId="6CAD0365"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 xml:space="preserve">CPI Inflation </w:t>
            </w:r>
          </w:p>
        </w:tc>
        <w:tc>
          <w:tcPr>
            <w:tcW w:w="2386" w:type="dxa"/>
            <w:tcBorders>
              <w:left w:val="single" w:sz="4" w:space="0" w:color="auto"/>
              <w:right w:val="single" w:sz="4" w:space="0" w:color="auto"/>
            </w:tcBorders>
            <w:shd w:val="clear" w:color="auto" w:fill="auto"/>
            <w:noWrap/>
            <w:vAlign w:val="bottom"/>
            <w:hideMark/>
          </w:tcPr>
          <w:p w14:paraId="446828A9"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 (Annual Average)</w:t>
            </w:r>
          </w:p>
        </w:tc>
        <w:tc>
          <w:tcPr>
            <w:tcW w:w="986" w:type="dxa"/>
            <w:tcBorders>
              <w:left w:val="single" w:sz="4" w:space="0" w:color="auto"/>
            </w:tcBorders>
            <w:shd w:val="clear" w:color="auto" w:fill="auto"/>
            <w:vAlign w:val="center"/>
            <w:hideMark/>
          </w:tcPr>
          <w:p w14:paraId="6AECB5AE"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3</w:t>
            </w:r>
            <w:r>
              <w:rPr>
                <w:rFonts w:ascii="GHEA Grapalat" w:eastAsia="Times New Roman" w:hAnsi="GHEA Grapalat" w:cs="Calibri"/>
                <w:color w:val="000000"/>
                <w:lang w:eastAsia="en-GB"/>
              </w:rPr>
              <w:t>.0</w:t>
            </w:r>
          </w:p>
        </w:tc>
        <w:tc>
          <w:tcPr>
            <w:tcW w:w="986" w:type="dxa"/>
            <w:shd w:val="clear" w:color="auto" w:fill="auto"/>
            <w:vAlign w:val="center"/>
            <w:hideMark/>
          </w:tcPr>
          <w:p w14:paraId="1602CFB2"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3.7</w:t>
            </w:r>
          </w:p>
        </w:tc>
        <w:tc>
          <w:tcPr>
            <w:tcW w:w="986" w:type="dxa"/>
            <w:shd w:val="clear" w:color="auto" w:fill="auto"/>
            <w:vAlign w:val="center"/>
            <w:hideMark/>
          </w:tcPr>
          <w:p w14:paraId="04E6A055"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-1.4</w:t>
            </w:r>
          </w:p>
        </w:tc>
        <w:tc>
          <w:tcPr>
            <w:tcW w:w="986" w:type="dxa"/>
            <w:shd w:val="clear" w:color="auto" w:fill="auto"/>
            <w:vAlign w:val="center"/>
            <w:hideMark/>
          </w:tcPr>
          <w:p w14:paraId="1EA186FE"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1.2</w:t>
            </w:r>
          </w:p>
        </w:tc>
        <w:tc>
          <w:tcPr>
            <w:tcW w:w="986" w:type="dxa"/>
            <w:shd w:val="clear" w:color="auto" w:fill="auto"/>
            <w:vAlign w:val="center"/>
            <w:hideMark/>
          </w:tcPr>
          <w:p w14:paraId="35C474E6"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3.3</w:t>
            </w:r>
          </w:p>
        </w:tc>
      </w:tr>
      <w:tr w:rsidR="009545C3" w:rsidRPr="00BC6D43" w14:paraId="67E36B64" w14:textId="77777777" w:rsidTr="00F528C6">
        <w:trPr>
          <w:trHeight w:val="300"/>
        </w:trPr>
        <w:tc>
          <w:tcPr>
            <w:tcW w:w="2439" w:type="dxa"/>
            <w:tcBorders>
              <w:right w:val="single" w:sz="4" w:space="0" w:color="auto"/>
            </w:tcBorders>
            <w:shd w:val="clear" w:color="auto" w:fill="auto"/>
            <w:noWrap/>
            <w:vAlign w:val="bottom"/>
            <w:hideMark/>
          </w:tcPr>
          <w:p w14:paraId="4AD9FC08"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Broad Money Growth</w:t>
            </w:r>
          </w:p>
        </w:tc>
        <w:tc>
          <w:tcPr>
            <w:tcW w:w="2386" w:type="dxa"/>
            <w:tcBorders>
              <w:left w:val="single" w:sz="4" w:space="0" w:color="auto"/>
              <w:right w:val="single" w:sz="4" w:space="0" w:color="auto"/>
            </w:tcBorders>
            <w:shd w:val="clear" w:color="auto" w:fill="auto"/>
            <w:noWrap/>
            <w:vAlign w:val="bottom"/>
            <w:hideMark/>
          </w:tcPr>
          <w:p w14:paraId="27A69CDE"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w:t>
            </w:r>
          </w:p>
        </w:tc>
        <w:tc>
          <w:tcPr>
            <w:tcW w:w="986" w:type="dxa"/>
            <w:tcBorders>
              <w:left w:val="single" w:sz="4" w:space="0" w:color="auto"/>
            </w:tcBorders>
            <w:shd w:val="clear" w:color="auto" w:fill="auto"/>
            <w:noWrap/>
            <w:vAlign w:val="bottom"/>
            <w:hideMark/>
          </w:tcPr>
          <w:p w14:paraId="3DDCC1F2"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8.3</w:t>
            </w:r>
          </w:p>
        </w:tc>
        <w:tc>
          <w:tcPr>
            <w:tcW w:w="986" w:type="dxa"/>
            <w:shd w:val="clear" w:color="auto" w:fill="auto"/>
            <w:noWrap/>
            <w:vAlign w:val="bottom"/>
            <w:hideMark/>
          </w:tcPr>
          <w:p w14:paraId="59093DD3"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10.8</w:t>
            </w:r>
          </w:p>
        </w:tc>
        <w:tc>
          <w:tcPr>
            <w:tcW w:w="986" w:type="dxa"/>
            <w:shd w:val="clear" w:color="auto" w:fill="auto"/>
            <w:noWrap/>
            <w:vAlign w:val="bottom"/>
            <w:hideMark/>
          </w:tcPr>
          <w:p w14:paraId="5295AA7B"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17.5</w:t>
            </w:r>
          </w:p>
        </w:tc>
        <w:tc>
          <w:tcPr>
            <w:tcW w:w="986" w:type="dxa"/>
            <w:shd w:val="clear" w:color="auto" w:fill="auto"/>
            <w:noWrap/>
            <w:vAlign w:val="bottom"/>
            <w:hideMark/>
          </w:tcPr>
          <w:p w14:paraId="52BA20ED"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10.9</w:t>
            </w:r>
          </w:p>
        </w:tc>
        <w:tc>
          <w:tcPr>
            <w:tcW w:w="986" w:type="dxa"/>
            <w:shd w:val="clear" w:color="auto" w:fill="auto"/>
            <w:noWrap/>
            <w:vAlign w:val="bottom"/>
            <w:hideMark/>
          </w:tcPr>
          <w:p w14:paraId="498E01AF"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6.3</w:t>
            </w:r>
          </w:p>
        </w:tc>
      </w:tr>
      <w:tr w:rsidR="009545C3" w:rsidRPr="00BC6D43" w14:paraId="357D8260" w14:textId="77777777" w:rsidTr="00F528C6">
        <w:trPr>
          <w:trHeight w:val="315"/>
        </w:trPr>
        <w:tc>
          <w:tcPr>
            <w:tcW w:w="2439" w:type="dxa"/>
            <w:tcBorders>
              <w:right w:val="single" w:sz="4" w:space="0" w:color="auto"/>
            </w:tcBorders>
            <w:shd w:val="clear" w:color="auto" w:fill="auto"/>
            <w:noWrap/>
            <w:vAlign w:val="bottom"/>
            <w:hideMark/>
          </w:tcPr>
          <w:p w14:paraId="1A9BCCD9"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Current Account Balance</w:t>
            </w:r>
          </w:p>
        </w:tc>
        <w:tc>
          <w:tcPr>
            <w:tcW w:w="2386" w:type="dxa"/>
            <w:tcBorders>
              <w:left w:val="single" w:sz="4" w:space="0" w:color="auto"/>
              <w:right w:val="single" w:sz="4" w:space="0" w:color="auto"/>
            </w:tcBorders>
            <w:shd w:val="clear" w:color="auto" w:fill="auto"/>
            <w:noWrap/>
            <w:vAlign w:val="bottom"/>
            <w:hideMark/>
          </w:tcPr>
          <w:p w14:paraId="660E5B6D"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 of GDP</w:t>
            </w:r>
          </w:p>
        </w:tc>
        <w:tc>
          <w:tcPr>
            <w:tcW w:w="986" w:type="dxa"/>
            <w:tcBorders>
              <w:left w:val="single" w:sz="4" w:space="0" w:color="auto"/>
            </w:tcBorders>
            <w:shd w:val="clear" w:color="auto" w:fill="auto"/>
            <w:noWrap/>
            <w:vAlign w:val="bottom"/>
            <w:hideMark/>
          </w:tcPr>
          <w:p w14:paraId="4FD64016"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-7.6</w:t>
            </w:r>
          </w:p>
        </w:tc>
        <w:tc>
          <w:tcPr>
            <w:tcW w:w="986" w:type="dxa"/>
            <w:shd w:val="clear" w:color="auto" w:fill="auto"/>
            <w:noWrap/>
            <w:vAlign w:val="bottom"/>
            <w:hideMark/>
          </w:tcPr>
          <w:p w14:paraId="69655D83"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-2.6</w:t>
            </w:r>
          </w:p>
        </w:tc>
        <w:tc>
          <w:tcPr>
            <w:tcW w:w="986" w:type="dxa"/>
            <w:shd w:val="clear" w:color="auto" w:fill="auto"/>
            <w:noWrap/>
            <w:vAlign w:val="bottom"/>
            <w:hideMark/>
          </w:tcPr>
          <w:p w14:paraId="70C15C67"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-2.</w:t>
            </w:r>
            <w:r>
              <w:rPr>
                <w:rFonts w:ascii="Calibri" w:eastAsia="Times New Roman" w:hAnsi="Calibri" w:cs="Calibri"/>
                <w:color w:val="000000"/>
                <w:lang w:eastAsia="en-GB"/>
              </w:rPr>
              <w:t>2</w:t>
            </w:r>
          </w:p>
        </w:tc>
        <w:tc>
          <w:tcPr>
            <w:tcW w:w="986" w:type="dxa"/>
            <w:shd w:val="clear" w:color="auto" w:fill="auto"/>
            <w:noWrap/>
            <w:vAlign w:val="bottom"/>
            <w:hideMark/>
          </w:tcPr>
          <w:p w14:paraId="4502D840"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w:t>
            </w:r>
            <w:r>
              <w:rPr>
                <w:rFonts w:ascii="Calibri" w:eastAsia="Times New Roman" w:hAnsi="Calibri" w:cs="Calibri"/>
                <w:color w:val="000000"/>
                <w:lang w:eastAsia="en-GB"/>
              </w:rPr>
              <w:t>2.3</w:t>
            </w:r>
          </w:p>
        </w:tc>
        <w:tc>
          <w:tcPr>
            <w:tcW w:w="986" w:type="dxa"/>
            <w:shd w:val="clear" w:color="auto" w:fill="auto"/>
            <w:noWrap/>
            <w:vAlign w:val="bottom"/>
            <w:hideMark/>
          </w:tcPr>
          <w:p w14:paraId="192EDA68"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-3.</w:t>
            </w:r>
            <w:r>
              <w:rPr>
                <w:rFonts w:ascii="Calibri" w:eastAsia="Times New Roman" w:hAnsi="Calibri" w:cs="Calibri"/>
                <w:color w:val="000000"/>
                <w:lang w:eastAsia="en-GB"/>
              </w:rPr>
              <w:t>1</w:t>
            </w:r>
          </w:p>
        </w:tc>
      </w:tr>
      <w:tr w:rsidR="009545C3" w:rsidRPr="00BC6D43" w14:paraId="42A9897D" w14:textId="77777777" w:rsidTr="00F528C6">
        <w:trPr>
          <w:trHeight w:val="315"/>
        </w:trPr>
        <w:tc>
          <w:tcPr>
            <w:tcW w:w="2439" w:type="dxa"/>
            <w:tcBorders>
              <w:right w:val="single" w:sz="4" w:space="0" w:color="auto"/>
            </w:tcBorders>
            <w:shd w:val="clear" w:color="auto" w:fill="auto"/>
            <w:noWrap/>
            <w:vAlign w:val="bottom"/>
            <w:hideMark/>
          </w:tcPr>
          <w:p w14:paraId="2AFF785D"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Public Debt</w:t>
            </w:r>
          </w:p>
        </w:tc>
        <w:tc>
          <w:tcPr>
            <w:tcW w:w="2386" w:type="dxa"/>
            <w:tcBorders>
              <w:left w:val="single" w:sz="4" w:space="0" w:color="auto"/>
              <w:right w:val="single" w:sz="4" w:space="0" w:color="auto"/>
            </w:tcBorders>
            <w:shd w:val="clear" w:color="auto" w:fill="auto"/>
            <w:noWrap/>
            <w:vAlign w:val="bottom"/>
            <w:hideMark/>
          </w:tcPr>
          <w:p w14:paraId="25B9594F"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 of GDP</w:t>
            </w:r>
          </w:p>
        </w:tc>
        <w:tc>
          <w:tcPr>
            <w:tcW w:w="986" w:type="dxa"/>
            <w:tcBorders>
              <w:left w:val="single" w:sz="4" w:space="0" w:color="auto"/>
            </w:tcBorders>
            <w:shd w:val="clear" w:color="auto" w:fill="auto"/>
            <w:noWrap/>
            <w:vAlign w:val="bottom"/>
            <w:hideMark/>
          </w:tcPr>
          <w:p w14:paraId="52A3F727"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43.7</w:t>
            </w:r>
          </w:p>
        </w:tc>
        <w:tc>
          <w:tcPr>
            <w:tcW w:w="986" w:type="dxa"/>
            <w:shd w:val="clear" w:color="auto" w:fill="auto"/>
            <w:noWrap/>
            <w:vAlign w:val="bottom"/>
            <w:hideMark/>
          </w:tcPr>
          <w:p w14:paraId="774D69A2"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48.7</w:t>
            </w:r>
          </w:p>
        </w:tc>
        <w:tc>
          <w:tcPr>
            <w:tcW w:w="986" w:type="dxa"/>
            <w:shd w:val="clear" w:color="auto" w:fill="auto"/>
            <w:vAlign w:val="center"/>
            <w:hideMark/>
          </w:tcPr>
          <w:p w14:paraId="6FDA5D37"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56.6</w:t>
            </w:r>
          </w:p>
        </w:tc>
        <w:tc>
          <w:tcPr>
            <w:tcW w:w="986" w:type="dxa"/>
            <w:shd w:val="clear" w:color="auto" w:fill="auto"/>
            <w:vAlign w:val="center"/>
            <w:hideMark/>
          </w:tcPr>
          <w:p w14:paraId="27370071" w14:textId="4331E3E5" w:rsidR="009545C3" w:rsidRPr="00BC6D43" w:rsidRDefault="00613491" w:rsidP="00F528C6">
            <w:pPr>
              <w:jc w:val="right"/>
              <w:rPr>
                <w:rFonts w:ascii="GHEA Grapalat" w:eastAsia="Times New Roman" w:hAnsi="GHEA Grapalat" w:cs="Calibri"/>
                <w:color w:val="000000"/>
                <w:lang w:eastAsia="en-GB"/>
              </w:rPr>
            </w:pPr>
            <w:r>
              <w:rPr>
                <w:rFonts w:ascii="GHEA Grapalat" w:eastAsia="Times New Roman" w:hAnsi="GHEA Grapalat" w:cs="Calibri"/>
                <w:color w:val="000000"/>
                <w:lang w:eastAsia="en-GB"/>
              </w:rPr>
              <w:t>58.8</w:t>
            </w:r>
          </w:p>
        </w:tc>
        <w:tc>
          <w:tcPr>
            <w:tcW w:w="986" w:type="dxa"/>
            <w:shd w:val="clear" w:color="auto" w:fill="auto"/>
            <w:vAlign w:val="center"/>
            <w:hideMark/>
          </w:tcPr>
          <w:p w14:paraId="0418B377" w14:textId="6C00A207" w:rsidR="009545C3" w:rsidRPr="00BC6D43" w:rsidRDefault="00613491" w:rsidP="00F528C6">
            <w:pPr>
              <w:jc w:val="right"/>
              <w:rPr>
                <w:rFonts w:ascii="GHEA Grapalat" w:eastAsia="Times New Roman" w:hAnsi="GHEA Grapalat" w:cs="Calibri"/>
                <w:color w:val="000000"/>
                <w:lang w:eastAsia="en-GB"/>
              </w:rPr>
            </w:pPr>
            <w:r>
              <w:rPr>
                <w:rFonts w:ascii="GHEA Grapalat" w:eastAsia="Times New Roman" w:hAnsi="GHEA Grapalat" w:cs="Calibri"/>
                <w:color w:val="000000"/>
                <w:lang w:eastAsia="en-GB"/>
              </w:rPr>
              <w:t>56.1</w:t>
            </w:r>
          </w:p>
        </w:tc>
      </w:tr>
      <w:tr w:rsidR="009545C3" w:rsidRPr="00BC6D43" w14:paraId="7E228254" w14:textId="77777777" w:rsidTr="00F528C6">
        <w:trPr>
          <w:trHeight w:val="315"/>
        </w:trPr>
        <w:tc>
          <w:tcPr>
            <w:tcW w:w="2439" w:type="dxa"/>
            <w:tcBorders>
              <w:right w:val="single" w:sz="4" w:space="0" w:color="auto"/>
            </w:tcBorders>
            <w:shd w:val="clear" w:color="auto" w:fill="auto"/>
            <w:noWrap/>
            <w:vAlign w:val="bottom"/>
            <w:hideMark/>
          </w:tcPr>
          <w:p w14:paraId="7D0C4F28"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Forex Reserves Adequacy</w:t>
            </w:r>
          </w:p>
        </w:tc>
        <w:tc>
          <w:tcPr>
            <w:tcW w:w="2386" w:type="dxa"/>
            <w:tcBorders>
              <w:left w:val="single" w:sz="4" w:space="0" w:color="auto"/>
              <w:right w:val="single" w:sz="4" w:space="0" w:color="auto"/>
            </w:tcBorders>
            <w:shd w:val="clear" w:color="auto" w:fill="auto"/>
            <w:noWrap/>
            <w:vAlign w:val="bottom"/>
            <w:hideMark/>
          </w:tcPr>
          <w:p w14:paraId="5C45AE10"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Months of Imports</w:t>
            </w:r>
          </w:p>
        </w:tc>
        <w:tc>
          <w:tcPr>
            <w:tcW w:w="986" w:type="dxa"/>
            <w:tcBorders>
              <w:left w:val="single" w:sz="4" w:space="0" w:color="auto"/>
            </w:tcBorders>
            <w:shd w:val="clear" w:color="auto" w:fill="auto"/>
            <w:vAlign w:val="center"/>
            <w:hideMark/>
          </w:tcPr>
          <w:p w14:paraId="78337174"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3.3</w:t>
            </w:r>
          </w:p>
        </w:tc>
        <w:tc>
          <w:tcPr>
            <w:tcW w:w="986" w:type="dxa"/>
            <w:shd w:val="clear" w:color="auto" w:fill="auto"/>
            <w:vAlign w:val="center"/>
            <w:hideMark/>
          </w:tcPr>
          <w:p w14:paraId="68946094"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4.8</w:t>
            </w:r>
          </w:p>
        </w:tc>
        <w:tc>
          <w:tcPr>
            <w:tcW w:w="986" w:type="dxa"/>
            <w:shd w:val="clear" w:color="auto" w:fill="auto"/>
            <w:vAlign w:val="center"/>
            <w:hideMark/>
          </w:tcPr>
          <w:p w14:paraId="1F4A0E45"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5.8</w:t>
            </w:r>
          </w:p>
        </w:tc>
        <w:tc>
          <w:tcPr>
            <w:tcW w:w="986" w:type="dxa"/>
            <w:shd w:val="clear" w:color="auto" w:fill="auto"/>
            <w:vAlign w:val="center"/>
            <w:hideMark/>
          </w:tcPr>
          <w:p w14:paraId="7712343F"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5.1</w:t>
            </w:r>
          </w:p>
        </w:tc>
        <w:tc>
          <w:tcPr>
            <w:tcW w:w="986" w:type="dxa"/>
            <w:shd w:val="clear" w:color="auto" w:fill="auto"/>
            <w:vAlign w:val="center"/>
            <w:hideMark/>
          </w:tcPr>
          <w:p w14:paraId="106B4429" w14:textId="77777777" w:rsidR="009545C3" w:rsidRPr="00BC6D43" w:rsidRDefault="009545C3" w:rsidP="00F528C6">
            <w:pPr>
              <w:jc w:val="right"/>
              <w:rPr>
                <w:rFonts w:ascii="GHEA Grapalat" w:eastAsia="Times New Roman" w:hAnsi="GHEA Grapalat" w:cs="Calibri"/>
                <w:color w:val="000000"/>
                <w:lang w:eastAsia="en-GB"/>
              </w:rPr>
            </w:pPr>
            <w:r w:rsidRPr="00BC6D43">
              <w:rPr>
                <w:rFonts w:ascii="GHEA Grapalat" w:eastAsia="Times New Roman" w:hAnsi="GHEA Grapalat" w:cs="Calibri"/>
                <w:color w:val="000000"/>
                <w:lang w:eastAsia="en-GB"/>
              </w:rPr>
              <w:t>5.1</w:t>
            </w:r>
          </w:p>
        </w:tc>
      </w:tr>
      <w:tr w:rsidR="009545C3" w:rsidRPr="00BC6D43" w14:paraId="759BEB42" w14:textId="77777777" w:rsidTr="00F528C6">
        <w:trPr>
          <w:trHeight w:val="315"/>
        </w:trPr>
        <w:tc>
          <w:tcPr>
            <w:tcW w:w="2439" w:type="dxa"/>
            <w:tcBorders>
              <w:right w:val="single" w:sz="4" w:space="0" w:color="auto"/>
            </w:tcBorders>
            <w:shd w:val="clear" w:color="auto" w:fill="auto"/>
            <w:noWrap/>
            <w:vAlign w:val="bottom"/>
            <w:hideMark/>
          </w:tcPr>
          <w:p w14:paraId="0CEEBB84"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Exchange Rate Cha</w:t>
            </w:r>
            <w:r>
              <w:rPr>
                <w:rFonts w:ascii="Calibri" w:eastAsia="Times New Roman" w:hAnsi="Calibri" w:cs="Calibri"/>
                <w:color w:val="000000"/>
                <w:lang w:eastAsia="en-GB"/>
              </w:rPr>
              <w:t>n</w:t>
            </w:r>
            <w:r w:rsidRPr="00BC6D43">
              <w:rPr>
                <w:rFonts w:ascii="Calibri" w:eastAsia="Times New Roman" w:hAnsi="Calibri" w:cs="Calibri"/>
                <w:color w:val="000000"/>
                <w:lang w:eastAsia="en-GB"/>
              </w:rPr>
              <w:t>ge</w:t>
            </w:r>
          </w:p>
        </w:tc>
        <w:tc>
          <w:tcPr>
            <w:tcW w:w="2386" w:type="dxa"/>
            <w:tcBorders>
              <w:left w:val="single" w:sz="4" w:space="0" w:color="auto"/>
              <w:bottom w:val="single" w:sz="4" w:space="0" w:color="auto"/>
              <w:right w:val="single" w:sz="4" w:space="0" w:color="auto"/>
            </w:tcBorders>
            <w:shd w:val="clear" w:color="auto" w:fill="auto"/>
            <w:noWrap/>
            <w:vAlign w:val="bottom"/>
            <w:hideMark/>
          </w:tcPr>
          <w:p w14:paraId="3D9C791E" w14:textId="77777777" w:rsidR="009545C3" w:rsidRPr="00BC6D43" w:rsidRDefault="009545C3" w:rsidP="00F528C6">
            <w:pPr>
              <w:rPr>
                <w:rFonts w:ascii="Calibri" w:eastAsia="Times New Roman" w:hAnsi="Calibri" w:cs="Calibri"/>
                <w:color w:val="000000"/>
                <w:lang w:eastAsia="en-GB"/>
              </w:rPr>
            </w:pPr>
            <w:r w:rsidRPr="00BC6D43">
              <w:rPr>
                <w:rFonts w:ascii="Calibri" w:eastAsia="Times New Roman" w:hAnsi="Calibri" w:cs="Calibri"/>
                <w:color w:val="000000"/>
                <w:lang w:eastAsia="en-GB"/>
              </w:rPr>
              <w:t>% (Drams per USD</w:t>
            </w:r>
            <w:r>
              <w:rPr>
                <w:rFonts w:ascii="Calibri" w:eastAsia="Times New Roman" w:hAnsi="Calibri" w:cs="Calibri"/>
                <w:color w:val="000000"/>
                <w:lang w:eastAsia="en-GB"/>
              </w:rPr>
              <w:t>)</w:t>
            </w:r>
            <w:r w:rsidRPr="00BC6D43">
              <w:rPr>
                <w:rFonts w:ascii="Calibri" w:eastAsia="Times New Roman" w:hAnsi="Calibri" w:cs="Calibri"/>
                <w:color w:val="000000"/>
                <w:lang w:eastAsia="en-GB"/>
              </w:rPr>
              <w:t xml:space="preserve"> </w:t>
            </w:r>
          </w:p>
        </w:tc>
        <w:tc>
          <w:tcPr>
            <w:tcW w:w="986" w:type="dxa"/>
            <w:tcBorders>
              <w:left w:val="single" w:sz="4" w:space="0" w:color="auto"/>
            </w:tcBorders>
            <w:shd w:val="clear" w:color="auto" w:fill="auto"/>
            <w:noWrap/>
            <w:vAlign w:val="bottom"/>
            <w:hideMark/>
          </w:tcPr>
          <w:p w14:paraId="36DF3649"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-1.5</w:t>
            </w:r>
          </w:p>
        </w:tc>
        <w:tc>
          <w:tcPr>
            <w:tcW w:w="986" w:type="dxa"/>
            <w:shd w:val="clear" w:color="auto" w:fill="auto"/>
            <w:noWrap/>
            <w:vAlign w:val="bottom"/>
            <w:hideMark/>
          </w:tcPr>
          <w:p w14:paraId="2C3265D0"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-14.9</w:t>
            </w:r>
          </w:p>
        </w:tc>
        <w:tc>
          <w:tcPr>
            <w:tcW w:w="986" w:type="dxa"/>
            <w:shd w:val="clear" w:color="auto" w:fill="auto"/>
            <w:noWrap/>
            <w:vAlign w:val="bottom"/>
            <w:hideMark/>
          </w:tcPr>
          <w:p w14:paraId="2478A77E"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-0.5</w:t>
            </w:r>
          </w:p>
        </w:tc>
        <w:tc>
          <w:tcPr>
            <w:tcW w:w="986" w:type="dxa"/>
            <w:shd w:val="clear" w:color="auto" w:fill="auto"/>
            <w:noWrap/>
            <w:vAlign w:val="bottom"/>
            <w:hideMark/>
          </w:tcPr>
          <w:p w14:paraId="43BE58D3"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-0.7</w:t>
            </w:r>
          </w:p>
        </w:tc>
        <w:tc>
          <w:tcPr>
            <w:tcW w:w="986" w:type="dxa"/>
            <w:shd w:val="clear" w:color="auto" w:fill="auto"/>
            <w:noWrap/>
            <w:vAlign w:val="bottom"/>
            <w:hideMark/>
          </w:tcPr>
          <w:p w14:paraId="78627E80" w14:textId="77777777" w:rsidR="009545C3" w:rsidRPr="00BC6D43" w:rsidRDefault="009545C3" w:rsidP="00F528C6">
            <w:pPr>
              <w:jc w:val="right"/>
              <w:rPr>
                <w:rFonts w:ascii="Calibri" w:eastAsia="Times New Roman" w:hAnsi="Calibri" w:cs="Calibri"/>
                <w:color w:val="000000"/>
                <w:lang w:eastAsia="en-GB"/>
              </w:rPr>
            </w:pPr>
            <w:r w:rsidRPr="00BC6D43">
              <w:rPr>
                <w:rFonts w:ascii="Calibri" w:eastAsia="Times New Roman" w:hAnsi="Calibri" w:cs="Calibri"/>
                <w:color w:val="000000"/>
                <w:lang w:eastAsia="en-GB"/>
              </w:rPr>
              <w:t>-</w:t>
            </w:r>
          </w:p>
        </w:tc>
      </w:tr>
    </w:tbl>
    <w:p w14:paraId="799D3F6E" w14:textId="77777777" w:rsidR="009545C3" w:rsidRPr="00BC6D43" w:rsidRDefault="009545C3" w:rsidP="009545C3">
      <w:pPr>
        <w:pStyle w:val="NoSpacing"/>
        <w:rPr>
          <w:sz w:val="18"/>
          <w:szCs w:val="18"/>
        </w:rPr>
      </w:pPr>
      <w:r w:rsidRPr="00BC6D43">
        <w:rPr>
          <w:sz w:val="18"/>
          <w:szCs w:val="18"/>
        </w:rPr>
        <w:t>*: Budget Estimates</w:t>
      </w:r>
    </w:p>
    <w:p w14:paraId="209753ED" w14:textId="77777777" w:rsidR="009545C3" w:rsidRPr="00BC6D43" w:rsidRDefault="009545C3" w:rsidP="009545C3">
      <w:pPr>
        <w:pStyle w:val="NoSpacing"/>
        <w:rPr>
          <w:sz w:val="18"/>
          <w:szCs w:val="18"/>
        </w:rPr>
      </w:pPr>
      <w:r w:rsidRPr="00BC6D43">
        <w:rPr>
          <w:sz w:val="18"/>
          <w:szCs w:val="18"/>
        </w:rPr>
        <w:t>Source: State Budget 2018 and Central Bank of Armenia</w:t>
      </w:r>
    </w:p>
    <w:p w14:paraId="687B7367" w14:textId="77777777" w:rsidR="009545C3" w:rsidRDefault="009545C3" w:rsidP="009545C3">
      <w:pPr>
        <w:jc w:val="both"/>
        <w:rPr>
          <w:rFonts w:cs="Arial"/>
        </w:rPr>
      </w:pPr>
    </w:p>
    <w:p w14:paraId="22A852E6" w14:textId="0A7CA5A2" w:rsidR="009545C3" w:rsidRPr="00757238" w:rsidRDefault="009545C3" w:rsidP="009545C3">
      <w:pPr>
        <w:pStyle w:val="ListParagraph"/>
        <w:numPr>
          <w:ilvl w:val="0"/>
          <w:numId w:val="3"/>
        </w:numPr>
        <w:jc w:val="both"/>
        <w:rPr>
          <w:rFonts w:cs="Arial"/>
        </w:rPr>
      </w:pPr>
      <w:r>
        <w:rPr>
          <w:rFonts w:eastAsiaTheme="minorHAnsi" w:cs="Arial"/>
          <w:lang w:val="en-GB" w:eastAsia="en-US"/>
        </w:rPr>
        <w:t xml:space="preserve">Banks dominate the financial system, accounting for 88.4 percent of financial assets at the end of 2016. </w:t>
      </w:r>
      <w:r w:rsidRPr="00757238">
        <w:rPr>
          <w:rFonts w:eastAsiaTheme="minorHAnsi" w:cs="Arial"/>
          <w:lang w:val="en-GB" w:eastAsia="en-US"/>
        </w:rPr>
        <w:t xml:space="preserve">With a </w:t>
      </w:r>
      <w:r w:rsidR="00605D5B" w:rsidRPr="00757238">
        <w:rPr>
          <w:rFonts w:eastAsiaTheme="minorHAnsi" w:cs="Arial"/>
          <w:lang w:val="en-GB" w:eastAsia="en-US"/>
        </w:rPr>
        <w:t>well-capitalised</w:t>
      </w:r>
      <w:r w:rsidRPr="00757238">
        <w:rPr>
          <w:rFonts w:eastAsiaTheme="minorHAnsi" w:cs="Arial"/>
          <w:lang w:val="en-GB" w:eastAsia="en-US"/>
        </w:rPr>
        <w:t xml:space="preserve"> banking sector, lending to the economy picked up to </w:t>
      </w:r>
      <w:proofErr w:type="gramStart"/>
      <w:r w:rsidRPr="00757238">
        <w:rPr>
          <w:rFonts w:eastAsiaTheme="minorHAnsi" w:cs="Arial"/>
          <w:lang w:val="en-GB" w:eastAsia="en-US"/>
        </w:rPr>
        <w:t>double digit</w:t>
      </w:r>
      <w:proofErr w:type="gramEnd"/>
      <w:r w:rsidRPr="00757238">
        <w:rPr>
          <w:rFonts w:eastAsiaTheme="minorHAnsi" w:cs="Arial"/>
          <w:lang w:val="en-GB" w:eastAsia="en-US"/>
        </w:rPr>
        <w:t xml:space="preserve"> growth levels after remaining stagnant in 2015. However, the banking system remains highly dollarized </w:t>
      </w:r>
      <w:r w:rsidR="00A93556">
        <w:rPr>
          <w:rFonts w:eastAsiaTheme="minorHAnsi" w:cs="Arial"/>
          <w:lang w:val="en-GB" w:eastAsia="en-US"/>
        </w:rPr>
        <w:t xml:space="preserve">at </w:t>
      </w:r>
      <w:r w:rsidRPr="00757238">
        <w:rPr>
          <w:rFonts w:eastAsiaTheme="minorHAnsi" w:cs="Arial"/>
          <w:lang w:val="en-GB" w:eastAsia="en-US"/>
        </w:rPr>
        <w:t xml:space="preserve">more than </w:t>
      </w:r>
      <w:r>
        <w:rPr>
          <w:rFonts w:eastAsiaTheme="minorHAnsi" w:cs="Arial"/>
          <w:lang w:val="en-GB" w:eastAsia="en-US"/>
        </w:rPr>
        <w:t xml:space="preserve">54 and </w:t>
      </w:r>
      <w:r w:rsidRPr="00757238">
        <w:rPr>
          <w:rFonts w:eastAsiaTheme="minorHAnsi" w:cs="Arial"/>
          <w:lang w:val="en-GB" w:eastAsia="en-US"/>
        </w:rPr>
        <w:t xml:space="preserve">60 percent of its deposits and loans </w:t>
      </w:r>
      <w:r>
        <w:rPr>
          <w:rFonts w:eastAsiaTheme="minorHAnsi" w:cs="Arial"/>
          <w:lang w:val="en-GB" w:eastAsia="en-US"/>
        </w:rPr>
        <w:t xml:space="preserve">respectively in 2016 </w:t>
      </w:r>
      <w:r w:rsidRPr="00757238">
        <w:rPr>
          <w:rFonts w:eastAsiaTheme="minorHAnsi" w:cs="Arial"/>
          <w:lang w:val="en-GB" w:eastAsia="en-US"/>
        </w:rPr>
        <w:t xml:space="preserve">although it has declined marginally in recent years. </w:t>
      </w:r>
    </w:p>
    <w:p w14:paraId="2E8104D7" w14:textId="77777777" w:rsidR="009545C3" w:rsidRDefault="009545C3" w:rsidP="009545C3">
      <w:pPr>
        <w:pStyle w:val="ListParagraph"/>
        <w:ind w:left="360"/>
        <w:jc w:val="both"/>
        <w:rPr>
          <w:rFonts w:cs="Arial"/>
        </w:rPr>
      </w:pPr>
    </w:p>
    <w:p w14:paraId="26A38A4B" w14:textId="77777777" w:rsidR="009545C3" w:rsidRDefault="009545C3" w:rsidP="009545C3">
      <w:pPr>
        <w:pStyle w:val="ListParagraph"/>
        <w:numPr>
          <w:ilvl w:val="0"/>
          <w:numId w:val="3"/>
        </w:numPr>
        <w:jc w:val="both"/>
        <w:rPr>
          <w:rFonts w:cs="Arial"/>
        </w:rPr>
      </w:pPr>
      <w:r>
        <w:rPr>
          <w:rFonts w:cs="Arial"/>
        </w:rPr>
        <w:lastRenderedPageBreak/>
        <w:t xml:space="preserve">The growing fiscal deficit since 2015 </w:t>
      </w:r>
      <w:proofErr w:type="gramStart"/>
      <w:r>
        <w:rPr>
          <w:rFonts w:cs="Arial"/>
        </w:rPr>
        <w:t>was mainly financed</w:t>
      </w:r>
      <w:proofErr w:type="gramEnd"/>
      <w:r>
        <w:rPr>
          <w:rFonts w:cs="Arial"/>
        </w:rPr>
        <w:t xml:space="preserve"> through external borrowings in excess of 80 percent of net borrowings except in 2016 (Figure 1).  External borrowings were in the form of external loans except in 2015 when issuance of Eurobonds by $500 million covered 43 percent of total net borrowings. In 2016, the share of domestic borrowings increased significantly to 42 percent of total net borrowings with increased supply of government securities under favorable market conditions. In 2017, share of net domestic borrowings budgeted at 26 percent, was lower in terms of actual realization at 16 percent in view of the widening of the budgeted fiscal gap. The State budget for 2018 projects a higher share of domestic borrowings at 26 percent, with the remaining 74 percent to </w:t>
      </w:r>
      <w:proofErr w:type="gramStart"/>
      <w:r>
        <w:rPr>
          <w:rFonts w:cs="Arial"/>
        </w:rPr>
        <w:t>be covered</w:t>
      </w:r>
      <w:proofErr w:type="gramEnd"/>
      <w:r>
        <w:rPr>
          <w:rFonts w:cs="Arial"/>
        </w:rPr>
        <w:t xml:space="preserve"> exclusively from external loans. To limit the external debt exposure, the Government recently introduced measures to prohibit new contraction of external loans and instead borrow from existing pipeline of loans which remains undisbursed, which is adequate to finance the fiscal gap.   </w:t>
      </w:r>
    </w:p>
    <w:p w14:paraId="6AFD1F15" w14:textId="77777777" w:rsidR="009545C3" w:rsidRDefault="009545C3" w:rsidP="009545C3">
      <w:pPr>
        <w:jc w:val="both"/>
        <w:rPr>
          <w:rFonts w:cs="Arial"/>
        </w:rPr>
      </w:pPr>
    </w:p>
    <w:p w14:paraId="2F30C444" w14:textId="32E998EC" w:rsidR="002832EB" w:rsidRDefault="002832EB" w:rsidP="002832EB">
      <w:pPr>
        <w:pStyle w:val="NoSpacing"/>
      </w:pPr>
      <w:r w:rsidRPr="00B148B3">
        <w:t xml:space="preserve">Figure 1: Financing of Fiscal Deficit  </w:t>
      </w:r>
    </w:p>
    <w:p w14:paraId="469C69A7" w14:textId="0506734D" w:rsidR="009C00DC" w:rsidRPr="00B148B3" w:rsidRDefault="009C00DC" w:rsidP="002832EB">
      <w:pPr>
        <w:pStyle w:val="NoSpacing"/>
      </w:pPr>
      <w:r>
        <w:rPr>
          <w:noProof/>
        </w:rPr>
        <w:drawing>
          <wp:inline distT="0" distB="0" distL="0" distR="0" wp14:anchorId="671295C5" wp14:editId="2BC6CF2B">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E6CB28A" w14:textId="77777777" w:rsidR="009545C3" w:rsidRPr="000535DC" w:rsidRDefault="009545C3" w:rsidP="009545C3">
      <w:pPr>
        <w:pStyle w:val="NoSpacing"/>
        <w:rPr>
          <w:b/>
        </w:rPr>
      </w:pPr>
    </w:p>
    <w:p w14:paraId="607A84CC" w14:textId="77777777" w:rsidR="009545C3" w:rsidRDefault="009545C3" w:rsidP="009545C3">
      <w:pPr>
        <w:pStyle w:val="ListParagraph"/>
        <w:ind w:left="360"/>
        <w:jc w:val="both"/>
        <w:rPr>
          <w:rFonts w:cs="Arial"/>
        </w:rPr>
      </w:pPr>
    </w:p>
    <w:p w14:paraId="57457F91" w14:textId="77777777" w:rsidR="009545C3" w:rsidRPr="00567687" w:rsidRDefault="009545C3" w:rsidP="009545C3">
      <w:pPr>
        <w:pStyle w:val="ListParagraph"/>
        <w:numPr>
          <w:ilvl w:val="0"/>
          <w:numId w:val="3"/>
        </w:numPr>
        <w:jc w:val="both"/>
        <w:rPr>
          <w:rFonts w:cs="Arial"/>
        </w:rPr>
      </w:pPr>
      <w:r>
        <w:rPr>
          <w:rFonts w:cs="Arial"/>
        </w:rPr>
        <w:t xml:space="preserve">Armenia </w:t>
      </w:r>
      <w:proofErr w:type="gramStart"/>
      <w:r>
        <w:rPr>
          <w:rFonts w:cs="Arial"/>
        </w:rPr>
        <w:t>is classified</w:t>
      </w:r>
      <w:proofErr w:type="gramEnd"/>
      <w:r>
        <w:rPr>
          <w:rFonts w:cs="Arial"/>
        </w:rPr>
        <w:t xml:space="preserve"> as a lower-middle income economy</w:t>
      </w:r>
      <w:r>
        <w:rPr>
          <w:rStyle w:val="FootnoteReference"/>
          <w:rFonts w:cs="Arial"/>
        </w:rPr>
        <w:footnoteReference w:id="3"/>
      </w:r>
      <w:r>
        <w:rPr>
          <w:rFonts w:cs="Arial"/>
        </w:rPr>
        <w:t xml:space="preserve">, having limited access to concessional finances. Majority of its borrowing is on non-concessional terms from official creditors. Bilateral and multilateral financing sources </w:t>
      </w:r>
      <w:proofErr w:type="gramStart"/>
      <w:r>
        <w:rPr>
          <w:rFonts w:cs="Arial"/>
        </w:rPr>
        <w:t>are predominantly used</w:t>
      </w:r>
      <w:proofErr w:type="gramEnd"/>
      <w:r>
        <w:rPr>
          <w:rFonts w:cs="Arial"/>
        </w:rPr>
        <w:t xml:space="preserve"> for project finance. Multilateral lending also covers budget support finance. </w:t>
      </w:r>
    </w:p>
    <w:p w14:paraId="203BC860" w14:textId="77777777" w:rsidR="009545C3" w:rsidRDefault="009545C3" w:rsidP="009545C3">
      <w:pPr>
        <w:jc w:val="both"/>
        <w:rPr>
          <w:rFonts w:cs="Arial"/>
        </w:rPr>
      </w:pPr>
    </w:p>
    <w:p w14:paraId="3082D787" w14:textId="77777777" w:rsidR="009545C3" w:rsidRDefault="009545C3" w:rsidP="009545C3">
      <w:pPr>
        <w:jc w:val="both"/>
        <w:rPr>
          <w:rFonts w:cs="Arial"/>
        </w:rPr>
      </w:pPr>
    </w:p>
    <w:p w14:paraId="269328EA" w14:textId="77777777" w:rsidR="009545C3" w:rsidRDefault="009545C3" w:rsidP="00466D0E">
      <w:pPr>
        <w:pStyle w:val="Topic2"/>
      </w:pPr>
      <w:bookmarkStart w:id="2" w:name="_Toc506537578"/>
      <w:r>
        <w:t>Public Debt</w:t>
      </w:r>
      <w:bookmarkEnd w:id="2"/>
    </w:p>
    <w:p w14:paraId="76956ECC" w14:textId="77777777" w:rsidR="009545C3" w:rsidRDefault="009545C3" w:rsidP="009545C3">
      <w:pPr>
        <w:jc w:val="both"/>
        <w:rPr>
          <w:rFonts w:cs="Arial"/>
        </w:rPr>
      </w:pPr>
    </w:p>
    <w:p w14:paraId="5DC8877C" w14:textId="34EF585A" w:rsidR="009545C3" w:rsidRPr="00B52817" w:rsidRDefault="009545C3" w:rsidP="009545C3">
      <w:pPr>
        <w:pStyle w:val="ListParagraph"/>
        <w:numPr>
          <w:ilvl w:val="0"/>
          <w:numId w:val="3"/>
        </w:numPr>
        <w:autoSpaceDE w:val="0"/>
        <w:autoSpaceDN w:val="0"/>
        <w:adjustRightInd w:val="0"/>
        <w:jc w:val="both"/>
        <w:rPr>
          <w:rFonts w:cs="Arial"/>
        </w:rPr>
      </w:pPr>
      <w:r w:rsidRPr="0038189E">
        <w:rPr>
          <w:rFonts w:cs="Arial"/>
        </w:rPr>
        <w:t xml:space="preserve">Armenia’s public debt increased significantly from 43.7 percent of GDP in 2014 to </w:t>
      </w:r>
      <w:r w:rsidR="00613491">
        <w:rPr>
          <w:rFonts w:cs="Arial"/>
        </w:rPr>
        <w:t>58.8</w:t>
      </w:r>
      <w:r w:rsidRPr="0038189E">
        <w:rPr>
          <w:rFonts w:cs="Arial"/>
        </w:rPr>
        <w:t xml:space="preserve"> percent in 2017</w:t>
      </w:r>
      <w:r>
        <w:rPr>
          <w:rStyle w:val="FootnoteReference"/>
          <w:rFonts w:cs="Arial"/>
        </w:rPr>
        <w:footnoteReference w:id="4"/>
      </w:r>
      <w:r>
        <w:rPr>
          <w:rFonts w:cs="Arial"/>
        </w:rPr>
        <w:t xml:space="preserve"> (Figure 2). The jump by </w:t>
      </w:r>
      <w:r w:rsidR="00613491">
        <w:rPr>
          <w:rFonts w:cs="Arial"/>
        </w:rPr>
        <w:t>15.1</w:t>
      </w:r>
      <w:r>
        <w:rPr>
          <w:rFonts w:cs="Arial"/>
        </w:rPr>
        <w:t xml:space="preserve"> percentage points of GDP for public debt is</w:t>
      </w:r>
      <w:r w:rsidRPr="0038189E">
        <w:rPr>
          <w:rFonts w:cs="Arial"/>
        </w:rPr>
        <w:t xml:space="preserve"> due to the combined impact of subdued economic activity, widening fiscal deficit and the sharp exchange rate depreciation in 2015. </w:t>
      </w:r>
      <w:r>
        <w:rPr>
          <w:rFonts w:cs="Arial"/>
        </w:rPr>
        <w:t xml:space="preserve">There was also an over execution of foreign funded projects during 2015-16. </w:t>
      </w:r>
      <w:r w:rsidRPr="0038189E">
        <w:rPr>
          <w:rFonts w:cs="Arial"/>
        </w:rPr>
        <w:t xml:space="preserve">Government debt increased from 39.4 percent in 2016 to </w:t>
      </w:r>
      <w:r w:rsidR="00613491">
        <w:rPr>
          <w:rFonts w:cs="Arial"/>
        </w:rPr>
        <w:lastRenderedPageBreak/>
        <w:t>53.6</w:t>
      </w:r>
      <w:r w:rsidRPr="0038189E">
        <w:rPr>
          <w:rFonts w:cs="Arial"/>
        </w:rPr>
        <w:t xml:space="preserve"> percent in 2017. </w:t>
      </w:r>
      <w:r w:rsidRPr="0038189E">
        <w:rPr>
          <w:rFonts w:eastAsiaTheme="minorHAnsi" w:cs="Arial"/>
          <w:iCs/>
          <w:lang w:val="en-GB" w:eastAsia="en-US"/>
        </w:rPr>
        <w:t>Although Armenia’s public debt remains sustainable, its high share of foreign currency debt continues to be an important source of vulnerability</w:t>
      </w:r>
      <w:r>
        <w:rPr>
          <w:rStyle w:val="FootnoteReference"/>
          <w:rFonts w:eastAsiaTheme="minorHAnsi" w:cs="Arial"/>
          <w:iCs/>
          <w:lang w:val="en-GB" w:eastAsia="en-US"/>
        </w:rPr>
        <w:footnoteReference w:id="5"/>
      </w:r>
      <w:r w:rsidRPr="0038189E">
        <w:rPr>
          <w:rFonts w:eastAsiaTheme="minorHAnsi" w:cs="Arial"/>
          <w:iCs/>
          <w:lang w:val="en-GB" w:eastAsia="en-US"/>
        </w:rPr>
        <w:t>. An adverse growth shock would have the largest impact on debt dynamics and government financing needs</w:t>
      </w:r>
      <w:r>
        <w:rPr>
          <w:rStyle w:val="FootnoteReference"/>
          <w:rFonts w:eastAsiaTheme="minorHAnsi" w:cs="Arial"/>
          <w:iCs/>
          <w:lang w:val="en-GB" w:eastAsia="en-US"/>
        </w:rPr>
        <w:footnoteReference w:id="6"/>
      </w:r>
      <w:r w:rsidRPr="0038189E">
        <w:rPr>
          <w:rFonts w:eastAsiaTheme="minorHAnsi" w:cs="Arial"/>
          <w:iCs/>
          <w:lang w:val="en-GB" w:eastAsia="en-US"/>
        </w:rPr>
        <w:t>.</w:t>
      </w:r>
      <w:r>
        <w:rPr>
          <w:rFonts w:eastAsiaTheme="minorHAnsi" w:cs="Arial"/>
          <w:iCs/>
          <w:lang w:val="en-GB" w:eastAsia="en-US"/>
        </w:rPr>
        <w:t xml:space="preserve"> Given the high volatility in growth rates over the past decade, realisation of such growth shocks is relatively unlikely. On the other hand, under standardised shocks with moderate deterioration in the debt trajectory, exchange rate depreciation has the largest impact on debt level. </w:t>
      </w:r>
      <w:r w:rsidR="00E120C9">
        <w:rPr>
          <w:rFonts w:eastAsiaTheme="minorHAnsi" w:cs="Arial"/>
          <w:iCs/>
          <w:lang w:val="en-GB" w:eastAsia="en-US"/>
        </w:rPr>
        <w:t xml:space="preserve">Given that macroeconomic shocks are usually correlated between economic growth, fiscal balance and exchange rate movements, a combination of shocks could negatively </w:t>
      </w:r>
      <w:proofErr w:type="gramStart"/>
      <w:r w:rsidR="00E120C9">
        <w:rPr>
          <w:rFonts w:eastAsiaTheme="minorHAnsi" w:cs="Arial"/>
          <w:iCs/>
          <w:lang w:val="en-GB" w:eastAsia="en-US"/>
        </w:rPr>
        <w:t>impact</w:t>
      </w:r>
      <w:proofErr w:type="gramEnd"/>
      <w:r w:rsidR="00E120C9">
        <w:rPr>
          <w:rFonts w:eastAsiaTheme="minorHAnsi" w:cs="Arial"/>
          <w:iCs/>
          <w:lang w:val="en-GB" w:eastAsia="en-US"/>
        </w:rPr>
        <w:t xml:space="preserve"> both the debt level, the debt dynamics and financing needs.</w:t>
      </w:r>
      <w:r>
        <w:rPr>
          <w:rFonts w:eastAsiaTheme="minorHAnsi" w:cs="Arial"/>
          <w:iCs/>
          <w:lang w:val="en-GB" w:eastAsia="en-US"/>
        </w:rPr>
        <w:t xml:space="preserve">  </w:t>
      </w:r>
      <w:r w:rsidRPr="0038189E">
        <w:rPr>
          <w:rFonts w:eastAsiaTheme="minorHAnsi" w:cs="Arial"/>
          <w:iCs/>
          <w:lang w:val="en-GB" w:eastAsia="en-US"/>
        </w:rPr>
        <w:t xml:space="preserve"> </w:t>
      </w:r>
    </w:p>
    <w:p w14:paraId="71029827" w14:textId="77777777" w:rsidR="009545C3" w:rsidRDefault="009545C3" w:rsidP="009545C3">
      <w:pPr>
        <w:pStyle w:val="ListParagraph"/>
        <w:autoSpaceDE w:val="0"/>
        <w:autoSpaceDN w:val="0"/>
        <w:adjustRightInd w:val="0"/>
        <w:ind w:left="360"/>
        <w:jc w:val="both"/>
        <w:rPr>
          <w:rFonts w:cs="Arial"/>
        </w:rPr>
      </w:pPr>
    </w:p>
    <w:p w14:paraId="0B9416E4" w14:textId="77777777" w:rsidR="009545C3" w:rsidRPr="00B148B3" w:rsidRDefault="009545C3" w:rsidP="009545C3">
      <w:pPr>
        <w:pStyle w:val="NoSpacing"/>
      </w:pPr>
      <w:r w:rsidRPr="00B148B3">
        <w:t>Figure 2: Public Debt Burden</w:t>
      </w:r>
    </w:p>
    <w:p w14:paraId="4B3EF315" w14:textId="502DB56D" w:rsidR="009545C3" w:rsidRPr="0038189E" w:rsidRDefault="009C00DC" w:rsidP="009545C3">
      <w:pPr>
        <w:pStyle w:val="ListParagraph"/>
        <w:autoSpaceDE w:val="0"/>
        <w:autoSpaceDN w:val="0"/>
        <w:adjustRightInd w:val="0"/>
        <w:ind w:left="360"/>
        <w:jc w:val="both"/>
        <w:rPr>
          <w:rFonts w:cs="Arial"/>
        </w:rPr>
      </w:pPr>
      <w:r>
        <w:rPr>
          <w:rFonts w:cs="Arial"/>
          <w:noProof/>
          <w:lang w:eastAsia="en-US"/>
        </w:rPr>
        <w:drawing>
          <wp:inline distT="0" distB="0" distL="0" distR="0" wp14:anchorId="738FA2CA" wp14:editId="4A022AB8">
            <wp:extent cx="4584700" cy="27559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90046B1" w14:textId="77777777" w:rsidR="009545C3" w:rsidRDefault="009545C3" w:rsidP="009545C3">
      <w:pPr>
        <w:pStyle w:val="ListParagraph"/>
        <w:autoSpaceDE w:val="0"/>
        <w:autoSpaceDN w:val="0"/>
        <w:adjustRightInd w:val="0"/>
        <w:ind w:left="360"/>
        <w:jc w:val="both"/>
        <w:rPr>
          <w:rFonts w:cs="Arial"/>
        </w:rPr>
      </w:pPr>
    </w:p>
    <w:p w14:paraId="2AA4DAE1" w14:textId="77777777" w:rsidR="009545C3" w:rsidRDefault="009545C3" w:rsidP="009545C3">
      <w:pPr>
        <w:pStyle w:val="ListParagraph"/>
        <w:autoSpaceDE w:val="0"/>
        <w:autoSpaceDN w:val="0"/>
        <w:adjustRightInd w:val="0"/>
        <w:ind w:left="360"/>
        <w:jc w:val="both"/>
        <w:rPr>
          <w:rFonts w:cs="Arial"/>
        </w:rPr>
      </w:pPr>
    </w:p>
    <w:p w14:paraId="116DB6C5" w14:textId="77777777" w:rsidR="009545C3" w:rsidRDefault="009545C3" w:rsidP="009545C3">
      <w:pPr>
        <w:pStyle w:val="ListParagraph"/>
        <w:numPr>
          <w:ilvl w:val="0"/>
          <w:numId w:val="3"/>
        </w:numPr>
        <w:autoSpaceDE w:val="0"/>
        <w:autoSpaceDN w:val="0"/>
        <w:adjustRightInd w:val="0"/>
        <w:jc w:val="both"/>
        <w:rPr>
          <w:rFonts w:cs="Arial"/>
        </w:rPr>
      </w:pPr>
      <w:r>
        <w:rPr>
          <w:rFonts w:cs="Arial"/>
        </w:rPr>
        <w:t xml:space="preserve">Interest payment on Government debt exhibited a rising trend, estimate to increase from 1.3 percent of GDP in 2014 to 2.4 percent by 2018. In terms of share in state revenue without grants, interest payment </w:t>
      </w:r>
      <w:proofErr w:type="gramStart"/>
      <w:r>
        <w:rPr>
          <w:rFonts w:cs="Arial"/>
        </w:rPr>
        <w:t>is estimated</w:t>
      </w:r>
      <w:proofErr w:type="gramEnd"/>
      <w:r>
        <w:rPr>
          <w:rFonts w:cs="Arial"/>
        </w:rPr>
        <w:t xml:space="preserve"> to increase from 5.5 to 10.3 percent.</w:t>
      </w:r>
    </w:p>
    <w:p w14:paraId="39094C8E" w14:textId="77777777" w:rsidR="009545C3" w:rsidRDefault="009545C3" w:rsidP="009545C3">
      <w:pPr>
        <w:pStyle w:val="ListParagraph"/>
        <w:autoSpaceDE w:val="0"/>
        <w:autoSpaceDN w:val="0"/>
        <w:adjustRightInd w:val="0"/>
        <w:ind w:left="360"/>
        <w:jc w:val="both"/>
        <w:rPr>
          <w:rFonts w:cs="Arial"/>
        </w:rPr>
      </w:pPr>
      <w:r>
        <w:rPr>
          <w:rFonts w:cs="Arial"/>
        </w:rPr>
        <w:t xml:space="preserve"> </w:t>
      </w:r>
    </w:p>
    <w:p w14:paraId="34CAA4C6" w14:textId="77777777" w:rsidR="009545C3" w:rsidRDefault="009545C3" w:rsidP="009545C3">
      <w:pPr>
        <w:pStyle w:val="ListParagraph"/>
        <w:numPr>
          <w:ilvl w:val="0"/>
          <w:numId w:val="3"/>
        </w:numPr>
        <w:autoSpaceDE w:val="0"/>
        <w:autoSpaceDN w:val="0"/>
        <w:adjustRightInd w:val="0"/>
        <w:jc w:val="both"/>
        <w:rPr>
          <w:rFonts w:cs="Arial"/>
        </w:rPr>
      </w:pPr>
      <w:r w:rsidRPr="0095310A">
        <w:rPr>
          <w:rFonts w:cs="Arial"/>
        </w:rPr>
        <w:t xml:space="preserve">Public debt exceeded the </w:t>
      </w:r>
      <w:r w:rsidRPr="0095310A">
        <w:rPr>
          <w:rFonts w:eastAsiaTheme="minorHAnsi" w:cs="Arial"/>
          <w:lang w:val="en-GB" w:eastAsia="en-US"/>
        </w:rPr>
        <w:t xml:space="preserve">50 percent threshold since 2016 as set in the extant Law on State </w:t>
      </w:r>
      <w:proofErr w:type="gramStart"/>
      <w:r w:rsidRPr="0095310A">
        <w:rPr>
          <w:rFonts w:eastAsiaTheme="minorHAnsi" w:cs="Arial"/>
          <w:lang w:val="en-GB" w:eastAsia="en-US"/>
        </w:rPr>
        <w:t>Debt which</w:t>
      </w:r>
      <w:proofErr w:type="gramEnd"/>
      <w:r w:rsidRPr="0095310A">
        <w:rPr>
          <w:rFonts w:eastAsiaTheme="minorHAnsi" w:cs="Arial"/>
          <w:lang w:val="en-GB" w:eastAsia="en-US"/>
        </w:rPr>
        <w:t xml:space="preserve"> triggered the corrective mechanism under the fiscal rule</w:t>
      </w:r>
      <w:r>
        <w:rPr>
          <w:rStyle w:val="FootnoteReference"/>
          <w:rFonts w:eastAsiaTheme="minorHAnsi" w:cs="Arial"/>
          <w:lang w:val="en-GB" w:eastAsia="en-US"/>
        </w:rPr>
        <w:footnoteReference w:id="7"/>
      </w:r>
      <w:r w:rsidRPr="0095310A">
        <w:rPr>
          <w:rFonts w:eastAsiaTheme="minorHAnsi" w:cs="Arial"/>
          <w:lang w:val="en-GB" w:eastAsia="en-US"/>
        </w:rPr>
        <w:t xml:space="preserve">. The debt law which provided insufficient operating guidance to fiscal policy, was procyclical in good times, and not flexible enough to deal with severe economic shocks. Consequently, the debt law </w:t>
      </w:r>
      <w:proofErr w:type="gramStart"/>
      <w:r w:rsidRPr="0095310A">
        <w:rPr>
          <w:rFonts w:eastAsiaTheme="minorHAnsi" w:cs="Arial"/>
          <w:lang w:val="en-GB" w:eastAsia="en-US"/>
        </w:rPr>
        <w:t>was amended</w:t>
      </w:r>
      <w:proofErr w:type="gramEnd"/>
      <w:r w:rsidRPr="0095310A">
        <w:rPr>
          <w:rFonts w:eastAsiaTheme="minorHAnsi" w:cs="Arial"/>
          <w:lang w:val="en-GB" w:eastAsia="en-US"/>
        </w:rPr>
        <w:t xml:space="preserve"> in 2017 with the inclusion of a lower debt ceiling of 40 percent of GDP in which case the government’s capital expenditure should exceed the fiscal deficit. </w:t>
      </w:r>
      <w:r w:rsidRPr="0095310A">
        <w:rPr>
          <w:rFonts w:cs="Arial"/>
        </w:rPr>
        <w:t>Under the 50% ceiling</w:t>
      </w:r>
      <w:r>
        <w:rPr>
          <w:rFonts w:cs="Arial"/>
        </w:rPr>
        <w:t>,</w:t>
      </w:r>
      <w:r w:rsidRPr="0095310A">
        <w:rPr>
          <w:rFonts w:cs="Arial"/>
        </w:rPr>
        <w:t xml:space="preserve"> the need to ensure the growth of current expenditures </w:t>
      </w:r>
      <w:proofErr w:type="gramStart"/>
      <w:r w:rsidRPr="0095310A">
        <w:rPr>
          <w:rFonts w:cs="Arial"/>
        </w:rPr>
        <w:t>is added</w:t>
      </w:r>
      <w:proofErr w:type="gramEnd"/>
      <w:r w:rsidRPr="0095310A">
        <w:rPr>
          <w:rFonts w:cs="Arial"/>
        </w:rPr>
        <w:t xml:space="preserve"> to the previous requirement. Under the 60% ceiling</w:t>
      </w:r>
      <w:r>
        <w:rPr>
          <w:rFonts w:cs="Arial"/>
        </w:rPr>
        <w:t>,</w:t>
      </w:r>
      <w:r w:rsidRPr="0095310A">
        <w:rPr>
          <w:rFonts w:cs="Arial"/>
        </w:rPr>
        <w:t xml:space="preserve"> the approaches </w:t>
      </w:r>
      <w:proofErr w:type="gramStart"/>
      <w:r w:rsidRPr="0095310A">
        <w:rPr>
          <w:rFonts w:cs="Arial"/>
        </w:rPr>
        <w:t>are even more toughened</w:t>
      </w:r>
      <w:proofErr w:type="gramEnd"/>
      <w:r w:rsidRPr="0095310A">
        <w:rPr>
          <w:rFonts w:cs="Arial"/>
        </w:rPr>
        <w:t>, and current expenditures are tied to domestic revenues.</w:t>
      </w:r>
    </w:p>
    <w:p w14:paraId="5D201AD1" w14:textId="77777777" w:rsidR="009545C3" w:rsidRPr="0095310A" w:rsidRDefault="009545C3" w:rsidP="009545C3">
      <w:pPr>
        <w:pStyle w:val="ListParagraph"/>
        <w:rPr>
          <w:rFonts w:cs="Arial"/>
        </w:rPr>
      </w:pPr>
    </w:p>
    <w:p w14:paraId="33B1AA6E" w14:textId="77777777" w:rsidR="009545C3" w:rsidRPr="009318D3" w:rsidRDefault="009545C3" w:rsidP="009545C3">
      <w:pPr>
        <w:pStyle w:val="ListParagraph"/>
        <w:numPr>
          <w:ilvl w:val="0"/>
          <w:numId w:val="3"/>
        </w:numPr>
        <w:jc w:val="both"/>
        <w:rPr>
          <w:rFonts w:eastAsia="Times New Roman"/>
          <w:b/>
        </w:rPr>
      </w:pPr>
      <w:r w:rsidRPr="00986E65">
        <w:rPr>
          <w:rFonts w:cs="Arial"/>
        </w:rPr>
        <w:lastRenderedPageBreak/>
        <w:t xml:space="preserve">At the end of 2017, </w:t>
      </w:r>
      <w:r>
        <w:rPr>
          <w:rFonts w:cs="Arial"/>
        </w:rPr>
        <w:t xml:space="preserve">total public debt stood at AMD 3,279.6 billion of which government debt was AMD 2,998.4 billion and external debt of the Central Bank of Armenia was AMD 291.2 billion (US$ 0.6 billion). The external public debt was AMD 2,660.0 billion (US$ 5.5 billion) and domestic public debt at AMD 619.5 billion (Table 2).  </w:t>
      </w:r>
    </w:p>
    <w:p w14:paraId="41E40405" w14:textId="77777777" w:rsidR="009545C3" w:rsidRDefault="009545C3" w:rsidP="009545C3">
      <w:pPr>
        <w:pStyle w:val="ListParagraph"/>
        <w:ind w:left="360"/>
        <w:jc w:val="both"/>
        <w:rPr>
          <w:rFonts w:eastAsia="Times New Roman"/>
          <w:b/>
        </w:rPr>
      </w:pPr>
    </w:p>
    <w:p w14:paraId="257E2513" w14:textId="77777777" w:rsidR="009545C3" w:rsidRPr="00A50926" w:rsidRDefault="009545C3" w:rsidP="009545C3">
      <w:pPr>
        <w:pStyle w:val="ListParagraph"/>
        <w:ind w:left="360"/>
        <w:jc w:val="both"/>
        <w:rPr>
          <w:rFonts w:cs="Arial"/>
          <w:i/>
          <w:sz w:val="18"/>
          <w:szCs w:val="18"/>
        </w:rPr>
      </w:pPr>
      <w:r w:rsidRPr="00A50926">
        <w:rPr>
          <w:rFonts w:eastAsia="Times New Roman"/>
        </w:rPr>
        <w:t xml:space="preserve">Table 2: Evolution of Public Debt in Armenia               </w:t>
      </w:r>
    </w:p>
    <w:tbl>
      <w:tblPr>
        <w:tblW w:w="10220" w:type="dxa"/>
        <w:tblInd w:w="108" w:type="dxa"/>
        <w:tblLook w:val="04A0" w:firstRow="1" w:lastRow="0" w:firstColumn="1" w:lastColumn="0" w:noHBand="0" w:noVBand="1"/>
      </w:tblPr>
      <w:tblGrid>
        <w:gridCol w:w="5200"/>
        <w:gridCol w:w="1380"/>
        <w:gridCol w:w="1200"/>
        <w:gridCol w:w="1240"/>
        <w:gridCol w:w="1200"/>
      </w:tblGrid>
      <w:tr w:rsidR="009545C3" w:rsidRPr="007C411F" w14:paraId="36F8CEA4" w14:textId="77777777" w:rsidTr="00F528C6">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1EA5" w14:textId="77777777" w:rsidR="009545C3" w:rsidRPr="007C411F" w:rsidRDefault="009545C3" w:rsidP="00F528C6">
            <w:pPr>
              <w:rPr>
                <w:rFonts w:ascii="Times New Roman" w:eastAsia="Times New Roman" w:hAnsi="Times New Roman" w:cs="Times New Roman"/>
                <w:sz w:val="24"/>
                <w:szCs w:val="24"/>
                <w:lang w:eastAsia="en-GB"/>
              </w:rPr>
            </w:pPr>
          </w:p>
        </w:tc>
        <w:tc>
          <w:tcPr>
            <w:tcW w:w="1380" w:type="dxa"/>
            <w:tcBorders>
              <w:top w:val="single" w:sz="4" w:space="0" w:color="auto"/>
              <w:left w:val="single" w:sz="4" w:space="0" w:color="auto"/>
              <w:bottom w:val="single" w:sz="4" w:space="0" w:color="auto"/>
              <w:right w:val="nil"/>
            </w:tcBorders>
            <w:shd w:val="clear" w:color="auto" w:fill="auto"/>
            <w:noWrap/>
            <w:vAlign w:val="bottom"/>
            <w:hideMark/>
          </w:tcPr>
          <w:p w14:paraId="6FE1A17D"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2014</w:t>
            </w:r>
          </w:p>
        </w:tc>
        <w:tc>
          <w:tcPr>
            <w:tcW w:w="1200" w:type="dxa"/>
            <w:tcBorders>
              <w:top w:val="single" w:sz="4" w:space="0" w:color="auto"/>
              <w:left w:val="nil"/>
              <w:bottom w:val="single" w:sz="4" w:space="0" w:color="auto"/>
              <w:right w:val="nil"/>
            </w:tcBorders>
            <w:shd w:val="clear" w:color="auto" w:fill="auto"/>
            <w:noWrap/>
            <w:vAlign w:val="bottom"/>
            <w:hideMark/>
          </w:tcPr>
          <w:p w14:paraId="3DFD3ADC"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2015</w:t>
            </w:r>
          </w:p>
        </w:tc>
        <w:tc>
          <w:tcPr>
            <w:tcW w:w="1240" w:type="dxa"/>
            <w:tcBorders>
              <w:top w:val="single" w:sz="4" w:space="0" w:color="auto"/>
              <w:left w:val="nil"/>
              <w:bottom w:val="single" w:sz="4" w:space="0" w:color="auto"/>
              <w:right w:val="nil"/>
            </w:tcBorders>
            <w:shd w:val="clear" w:color="auto" w:fill="auto"/>
            <w:noWrap/>
            <w:vAlign w:val="bottom"/>
            <w:hideMark/>
          </w:tcPr>
          <w:p w14:paraId="36C7ECE7"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2016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ED831BC"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2017</w:t>
            </w:r>
          </w:p>
        </w:tc>
      </w:tr>
      <w:tr w:rsidR="009545C3" w:rsidRPr="007C411F" w14:paraId="306F09D5" w14:textId="77777777" w:rsidTr="00F528C6">
        <w:trPr>
          <w:trHeight w:val="300"/>
        </w:trPr>
        <w:tc>
          <w:tcPr>
            <w:tcW w:w="5200" w:type="dxa"/>
            <w:tcBorders>
              <w:top w:val="single" w:sz="4" w:space="0" w:color="auto"/>
              <w:left w:val="single" w:sz="4" w:space="0" w:color="auto"/>
              <w:bottom w:val="nil"/>
              <w:right w:val="single" w:sz="4" w:space="0" w:color="auto"/>
            </w:tcBorders>
            <w:shd w:val="clear" w:color="auto" w:fill="auto"/>
            <w:noWrap/>
            <w:vAlign w:val="bottom"/>
            <w:hideMark/>
          </w:tcPr>
          <w:p w14:paraId="021C3F26"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Public Debt</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14:paraId="10AF58EB" w14:textId="77777777" w:rsidR="009545C3" w:rsidRPr="007C411F" w:rsidRDefault="009545C3" w:rsidP="00F528C6">
            <w:pPr>
              <w:jc w:val="right"/>
              <w:rPr>
                <w:rFonts w:ascii="GHEA Grapalat" w:eastAsia="Times New Roman" w:hAnsi="GHEA Grapalat" w:cs="Calibri"/>
                <w:bCs/>
                <w:i/>
                <w:iCs/>
                <w:sz w:val="20"/>
                <w:szCs w:val="20"/>
                <w:lang w:eastAsia="en-GB"/>
              </w:rPr>
            </w:pPr>
            <w:r w:rsidRPr="007C411F">
              <w:rPr>
                <w:rFonts w:ascii="GHEA Grapalat" w:eastAsia="Times New Roman" w:hAnsi="GHEA Grapalat" w:cs="Calibri"/>
                <w:bCs/>
                <w:i/>
                <w:iCs/>
                <w:sz w:val="20"/>
                <w:szCs w:val="20"/>
                <w:lang w:eastAsia="en-GB"/>
              </w:rPr>
              <w:t xml:space="preserve">  2,109.6 </w:t>
            </w:r>
          </w:p>
        </w:tc>
        <w:tc>
          <w:tcPr>
            <w:tcW w:w="1200" w:type="dxa"/>
            <w:tcBorders>
              <w:top w:val="single" w:sz="4" w:space="0" w:color="auto"/>
              <w:left w:val="nil"/>
              <w:bottom w:val="single" w:sz="4" w:space="0" w:color="auto"/>
              <w:right w:val="nil"/>
            </w:tcBorders>
            <w:shd w:val="clear" w:color="auto" w:fill="auto"/>
            <w:vAlign w:val="center"/>
            <w:hideMark/>
          </w:tcPr>
          <w:p w14:paraId="31F2E71F" w14:textId="77777777" w:rsidR="009545C3" w:rsidRPr="007C411F" w:rsidRDefault="009545C3" w:rsidP="00F528C6">
            <w:pPr>
              <w:jc w:val="right"/>
              <w:rPr>
                <w:rFonts w:ascii="GHEA Grapalat" w:eastAsia="Times New Roman" w:hAnsi="GHEA Grapalat" w:cs="Calibri"/>
                <w:bCs/>
                <w:i/>
                <w:iCs/>
                <w:sz w:val="20"/>
                <w:szCs w:val="20"/>
                <w:lang w:eastAsia="en-GB"/>
              </w:rPr>
            </w:pPr>
            <w:r w:rsidRPr="007C411F">
              <w:rPr>
                <w:rFonts w:ascii="GHEA Grapalat" w:eastAsia="Times New Roman" w:hAnsi="GHEA Grapalat" w:cs="Calibri"/>
                <w:bCs/>
                <w:i/>
                <w:iCs/>
                <w:sz w:val="20"/>
                <w:szCs w:val="20"/>
                <w:lang w:eastAsia="en-GB"/>
              </w:rPr>
              <w:t xml:space="preserve"> 2,456.3 </w:t>
            </w:r>
          </w:p>
        </w:tc>
        <w:tc>
          <w:tcPr>
            <w:tcW w:w="1240" w:type="dxa"/>
            <w:tcBorders>
              <w:top w:val="single" w:sz="4" w:space="0" w:color="auto"/>
              <w:left w:val="nil"/>
              <w:bottom w:val="single" w:sz="4" w:space="0" w:color="auto"/>
              <w:right w:val="nil"/>
            </w:tcBorders>
            <w:shd w:val="clear" w:color="auto" w:fill="auto"/>
            <w:vAlign w:val="center"/>
            <w:hideMark/>
          </w:tcPr>
          <w:p w14:paraId="4E996022" w14:textId="77777777" w:rsidR="009545C3" w:rsidRPr="007C411F" w:rsidRDefault="009545C3" w:rsidP="00F528C6">
            <w:pPr>
              <w:jc w:val="right"/>
              <w:rPr>
                <w:rFonts w:ascii="GHEA Grapalat" w:eastAsia="Times New Roman" w:hAnsi="GHEA Grapalat" w:cs="Calibri"/>
                <w:bCs/>
                <w:i/>
                <w:iCs/>
                <w:sz w:val="20"/>
                <w:szCs w:val="20"/>
                <w:lang w:eastAsia="en-GB"/>
              </w:rPr>
            </w:pPr>
            <w:r w:rsidRPr="007C411F">
              <w:rPr>
                <w:rFonts w:ascii="GHEA Grapalat" w:eastAsia="Times New Roman" w:hAnsi="GHEA Grapalat" w:cs="Calibri"/>
                <w:bCs/>
                <w:i/>
                <w:iCs/>
                <w:sz w:val="20"/>
                <w:szCs w:val="20"/>
                <w:lang w:eastAsia="en-GB"/>
              </w:rPr>
              <w:t xml:space="preserve"> 2,875.6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09EA51" w14:textId="77777777" w:rsidR="009545C3" w:rsidRPr="007C411F" w:rsidRDefault="009545C3" w:rsidP="00F528C6">
            <w:pPr>
              <w:jc w:val="right"/>
              <w:rPr>
                <w:rFonts w:ascii="GHEA Grapalat" w:eastAsia="Times New Roman" w:hAnsi="GHEA Grapalat" w:cs="Calibri"/>
                <w:bCs/>
                <w:i/>
                <w:iCs/>
                <w:sz w:val="20"/>
                <w:szCs w:val="20"/>
                <w:lang w:eastAsia="en-GB"/>
              </w:rPr>
            </w:pPr>
            <w:r w:rsidRPr="007C411F">
              <w:rPr>
                <w:rFonts w:ascii="GHEA Grapalat" w:eastAsia="Times New Roman" w:hAnsi="GHEA Grapalat" w:cs="Calibri"/>
                <w:bCs/>
                <w:i/>
                <w:iCs/>
                <w:sz w:val="20"/>
                <w:szCs w:val="20"/>
                <w:lang w:eastAsia="en-GB"/>
              </w:rPr>
              <w:t xml:space="preserve"> 3,279.6 </w:t>
            </w:r>
          </w:p>
        </w:tc>
      </w:tr>
      <w:tr w:rsidR="009545C3" w:rsidRPr="007C411F" w14:paraId="2ED30BAA"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ED8F324" w14:textId="77777777" w:rsidR="009545C3" w:rsidRPr="007C411F" w:rsidRDefault="009545C3" w:rsidP="00F528C6">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Government Debt</w:t>
            </w:r>
          </w:p>
        </w:tc>
        <w:tc>
          <w:tcPr>
            <w:tcW w:w="1380" w:type="dxa"/>
            <w:tcBorders>
              <w:top w:val="nil"/>
              <w:left w:val="single" w:sz="4" w:space="0" w:color="auto"/>
              <w:bottom w:val="single" w:sz="4" w:space="0" w:color="auto"/>
              <w:right w:val="nil"/>
            </w:tcBorders>
            <w:shd w:val="clear" w:color="auto" w:fill="auto"/>
            <w:vAlign w:val="center"/>
            <w:hideMark/>
          </w:tcPr>
          <w:p w14:paraId="53F47FD9"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1,900.6 </w:t>
            </w:r>
          </w:p>
        </w:tc>
        <w:tc>
          <w:tcPr>
            <w:tcW w:w="1200" w:type="dxa"/>
            <w:tcBorders>
              <w:top w:val="nil"/>
              <w:left w:val="nil"/>
              <w:bottom w:val="single" w:sz="4" w:space="0" w:color="auto"/>
              <w:right w:val="nil"/>
            </w:tcBorders>
            <w:shd w:val="clear" w:color="auto" w:fill="auto"/>
            <w:vAlign w:val="center"/>
            <w:hideMark/>
          </w:tcPr>
          <w:p w14:paraId="65D98484"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2,225.9 </w:t>
            </w:r>
          </w:p>
        </w:tc>
        <w:tc>
          <w:tcPr>
            <w:tcW w:w="1240" w:type="dxa"/>
            <w:tcBorders>
              <w:top w:val="nil"/>
              <w:left w:val="nil"/>
              <w:bottom w:val="single" w:sz="4" w:space="0" w:color="auto"/>
              <w:right w:val="nil"/>
            </w:tcBorders>
            <w:shd w:val="clear" w:color="auto" w:fill="auto"/>
            <w:vAlign w:val="center"/>
            <w:hideMark/>
          </w:tcPr>
          <w:p w14:paraId="64BDB03D"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2,631.4 </w:t>
            </w:r>
          </w:p>
        </w:tc>
        <w:tc>
          <w:tcPr>
            <w:tcW w:w="1200" w:type="dxa"/>
            <w:tcBorders>
              <w:top w:val="nil"/>
              <w:left w:val="nil"/>
              <w:bottom w:val="single" w:sz="4" w:space="0" w:color="auto"/>
              <w:right w:val="single" w:sz="4" w:space="0" w:color="auto"/>
            </w:tcBorders>
            <w:shd w:val="clear" w:color="auto" w:fill="auto"/>
            <w:vAlign w:val="center"/>
            <w:hideMark/>
          </w:tcPr>
          <w:p w14:paraId="5C1F10C4"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2,988.4 </w:t>
            </w:r>
          </w:p>
        </w:tc>
      </w:tr>
      <w:tr w:rsidR="009545C3" w:rsidRPr="007C411F" w14:paraId="6E9B899D"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71735824"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External Debt</w:t>
            </w:r>
          </w:p>
        </w:tc>
        <w:tc>
          <w:tcPr>
            <w:tcW w:w="1380" w:type="dxa"/>
            <w:tcBorders>
              <w:top w:val="nil"/>
              <w:left w:val="single" w:sz="4" w:space="0" w:color="auto"/>
              <w:bottom w:val="single" w:sz="4" w:space="0" w:color="auto"/>
              <w:right w:val="nil"/>
            </w:tcBorders>
            <w:shd w:val="clear" w:color="auto" w:fill="auto"/>
            <w:vAlign w:val="center"/>
            <w:hideMark/>
          </w:tcPr>
          <w:p w14:paraId="71093FAE"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1,588.9 </w:t>
            </w:r>
          </w:p>
        </w:tc>
        <w:tc>
          <w:tcPr>
            <w:tcW w:w="1200" w:type="dxa"/>
            <w:tcBorders>
              <w:top w:val="nil"/>
              <w:left w:val="nil"/>
              <w:bottom w:val="single" w:sz="4" w:space="0" w:color="auto"/>
              <w:right w:val="nil"/>
            </w:tcBorders>
            <w:shd w:val="clear" w:color="auto" w:fill="auto"/>
            <w:vAlign w:val="center"/>
            <w:hideMark/>
          </w:tcPr>
          <w:p w14:paraId="0ADCF7EA"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1,857.5 </w:t>
            </w:r>
          </w:p>
        </w:tc>
        <w:tc>
          <w:tcPr>
            <w:tcW w:w="1240" w:type="dxa"/>
            <w:tcBorders>
              <w:top w:val="nil"/>
              <w:left w:val="nil"/>
              <w:bottom w:val="single" w:sz="4" w:space="0" w:color="auto"/>
              <w:right w:val="nil"/>
            </w:tcBorders>
            <w:shd w:val="clear" w:color="auto" w:fill="auto"/>
            <w:vAlign w:val="center"/>
            <w:hideMark/>
          </w:tcPr>
          <w:p w14:paraId="5A1F8FAB"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2,081.4 </w:t>
            </w:r>
          </w:p>
        </w:tc>
        <w:tc>
          <w:tcPr>
            <w:tcW w:w="1200" w:type="dxa"/>
            <w:tcBorders>
              <w:top w:val="nil"/>
              <w:left w:val="nil"/>
              <w:bottom w:val="single" w:sz="4" w:space="0" w:color="auto"/>
              <w:right w:val="single" w:sz="4" w:space="0" w:color="auto"/>
            </w:tcBorders>
            <w:shd w:val="clear" w:color="auto" w:fill="auto"/>
            <w:vAlign w:val="center"/>
            <w:hideMark/>
          </w:tcPr>
          <w:p w14:paraId="07D76DCA"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2,368.9 </w:t>
            </w:r>
          </w:p>
        </w:tc>
      </w:tr>
      <w:tr w:rsidR="009545C3" w:rsidRPr="007C411F" w14:paraId="13E875BE"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5FFB44D1"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External Loans</w:t>
            </w:r>
          </w:p>
        </w:tc>
        <w:tc>
          <w:tcPr>
            <w:tcW w:w="1380" w:type="dxa"/>
            <w:tcBorders>
              <w:top w:val="nil"/>
              <w:left w:val="single" w:sz="4" w:space="0" w:color="auto"/>
              <w:bottom w:val="single" w:sz="4" w:space="0" w:color="auto"/>
              <w:right w:val="nil"/>
            </w:tcBorders>
            <w:shd w:val="clear" w:color="auto" w:fill="auto"/>
            <w:vAlign w:val="center"/>
            <w:hideMark/>
          </w:tcPr>
          <w:p w14:paraId="458BFEA3"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1,275.3 </w:t>
            </w:r>
          </w:p>
        </w:tc>
        <w:tc>
          <w:tcPr>
            <w:tcW w:w="1200" w:type="dxa"/>
            <w:tcBorders>
              <w:top w:val="nil"/>
              <w:left w:val="nil"/>
              <w:bottom w:val="single" w:sz="4" w:space="0" w:color="auto"/>
              <w:right w:val="nil"/>
            </w:tcBorders>
            <w:shd w:val="clear" w:color="auto" w:fill="auto"/>
            <w:vAlign w:val="center"/>
            <w:hideMark/>
          </w:tcPr>
          <w:p w14:paraId="26B47E98"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1,420.4 </w:t>
            </w:r>
          </w:p>
        </w:tc>
        <w:tc>
          <w:tcPr>
            <w:tcW w:w="1240" w:type="dxa"/>
            <w:tcBorders>
              <w:top w:val="nil"/>
              <w:left w:val="nil"/>
              <w:bottom w:val="single" w:sz="4" w:space="0" w:color="auto"/>
              <w:right w:val="nil"/>
            </w:tcBorders>
            <w:shd w:val="clear" w:color="auto" w:fill="auto"/>
            <w:vAlign w:val="center"/>
            <w:hideMark/>
          </w:tcPr>
          <w:p w14:paraId="75695CB7"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1,635.7 </w:t>
            </w:r>
          </w:p>
        </w:tc>
        <w:tc>
          <w:tcPr>
            <w:tcW w:w="1200" w:type="dxa"/>
            <w:tcBorders>
              <w:top w:val="nil"/>
              <w:left w:val="nil"/>
              <w:bottom w:val="single" w:sz="4" w:space="0" w:color="auto"/>
              <w:right w:val="single" w:sz="4" w:space="0" w:color="auto"/>
            </w:tcBorders>
            <w:shd w:val="clear" w:color="auto" w:fill="auto"/>
            <w:vAlign w:val="center"/>
            <w:hideMark/>
          </w:tcPr>
          <w:p w14:paraId="6616CDF7"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1,946.6 </w:t>
            </w:r>
          </w:p>
        </w:tc>
      </w:tr>
      <w:tr w:rsidR="009545C3" w:rsidRPr="007C411F" w14:paraId="376C5CE9"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57F9BAE9"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Eurobonds purchased by non-residents</w:t>
            </w:r>
          </w:p>
        </w:tc>
        <w:tc>
          <w:tcPr>
            <w:tcW w:w="1380" w:type="dxa"/>
            <w:tcBorders>
              <w:top w:val="nil"/>
              <w:left w:val="single" w:sz="4" w:space="0" w:color="auto"/>
              <w:bottom w:val="single" w:sz="4" w:space="0" w:color="auto"/>
              <w:right w:val="nil"/>
            </w:tcBorders>
            <w:shd w:val="clear" w:color="auto" w:fill="auto"/>
            <w:vAlign w:val="center"/>
            <w:hideMark/>
          </w:tcPr>
          <w:p w14:paraId="22846206"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313.1 </w:t>
            </w:r>
          </w:p>
        </w:tc>
        <w:tc>
          <w:tcPr>
            <w:tcW w:w="1200" w:type="dxa"/>
            <w:tcBorders>
              <w:top w:val="nil"/>
              <w:left w:val="nil"/>
              <w:bottom w:val="single" w:sz="4" w:space="0" w:color="auto"/>
              <w:right w:val="nil"/>
            </w:tcBorders>
            <w:shd w:val="clear" w:color="auto" w:fill="auto"/>
            <w:vAlign w:val="center"/>
            <w:hideMark/>
          </w:tcPr>
          <w:p w14:paraId="4BB150CD"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436.4 </w:t>
            </w:r>
          </w:p>
        </w:tc>
        <w:tc>
          <w:tcPr>
            <w:tcW w:w="1240" w:type="dxa"/>
            <w:tcBorders>
              <w:top w:val="nil"/>
              <w:left w:val="nil"/>
              <w:bottom w:val="single" w:sz="4" w:space="0" w:color="auto"/>
              <w:right w:val="nil"/>
            </w:tcBorders>
            <w:shd w:val="clear" w:color="auto" w:fill="auto"/>
            <w:vAlign w:val="center"/>
            <w:hideMark/>
          </w:tcPr>
          <w:p w14:paraId="6C75B365"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437.7 </w:t>
            </w:r>
          </w:p>
        </w:tc>
        <w:tc>
          <w:tcPr>
            <w:tcW w:w="1200" w:type="dxa"/>
            <w:tcBorders>
              <w:top w:val="nil"/>
              <w:left w:val="nil"/>
              <w:bottom w:val="single" w:sz="4" w:space="0" w:color="auto"/>
              <w:right w:val="single" w:sz="4" w:space="0" w:color="auto"/>
            </w:tcBorders>
            <w:shd w:val="clear" w:color="auto" w:fill="auto"/>
            <w:vAlign w:val="center"/>
            <w:hideMark/>
          </w:tcPr>
          <w:p w14:paraId="7A700B3F"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409.0 </w:t>
            </w:r>
          </w:p>
        </w:tc>
      </w:tr>
      <w:tr w:rsidR="009545C3" w:rsidRPr="007C411F" w14:paraId="7415C5DB"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53351535"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Govt</w:t>
            </w:r>
            <w:r>
              <w:rPr>
                <w:rFonts w:ascii="Calibri" w:eastAsia="Times New Roman" w:hAnsi="Calibri" w:cs="Calibri"/>
                <w:color w:val="000000"/>
                <w:lang w:eastAsia="en-GB"/>
              </w:rPr>
              <w:t>.</w:t>
            </w:r>
            <w:r w:rsidRPr="007C411F">
              <w:rPr>
                <w:rFonts w:ascii="Calibri" w:eastAsia="Times New Roman" w:hAnsi="Calibri" w:cs="Calibri"/>
                <w:color w:val="000000"/>
                <w:lang w:eastAsia="en-GB"/>
              </w:rPr>
              <w:t xml:space="preserve"> Securities purchased by non-residents</w:t>
            </w:r>
          </w:p>
        </w:tc>
        <w:tc>
          <w:tcPr>
            <w:tcW w:w="1380" w:type="dxa"/>
            <w:tcBorders>
              <w:top w:val="nil"/>
              <w:left w:val="single" w:sz="4" w:space="0" w:color="auto"/>
              <w:bottom w:val="single" w:sz="4" w:space="0" w:color="auto"/>
              <w:right w:val="nil"/>
            </w:tcBorders>
            <w:shd w:val="clear" w:color="auto" w:fill="auto"/>
            <w:vAlign w:val="center"/>
            <w:hideMark/>
          </w:tcPr>
          <w:p w14:paraId="367B85CB"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0.4 </w:t>
            </w:r>
          </w:p>
        </w:tc>
        <w:tc>
          <w:tcPr>
            <w:tcW w:w="1200" w:type="dxa"/>
            <w:tcBorders>
              <w:top w:val="nil"/>
              <w:left w:val="nil"/>
              <w:bottom w:val="single" w:sz="4" w:space="0" w:color="auto"/>
              <w:right w:val="nil"/>
            </w:tcBorders>
            <w:shd w:val="clear" w:color="auto" w:fill="auto"/>
            <w:vAlign w:val="center"/>
            <w:hideMark/>
          </w:tcPr>
          <w:p w14:paraId="3BC89A08"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0.7 </w:t>
            </w:r>
          </w:p>
        </w:tc>
        <w:tc>
          <w:tcPr>
            <w:tcW w:w="1240" w:type="dxa"/>
            <w:tcBorders>
              <w:top w:val="nil"/>
              <w:left w:val="nil"/>
              <w:bottom w:val="single" w:sz="4" w:space="0" w:color="auto"/>
              <w:right w:val="nil"/>
            </w:tcBorders>
            <w:shd w:val="clear" w:color="auto" w:fill="auto"/>
            <w:vAlign w:val="center"/>
            <w:hideMark/>
          </w:tcPr>
          <w:p w14:paraId="19CA0438"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8.0 </w:t>
            </w:r>
          </w:p>
        </w:tc>
        <w:tc>
          <w:tcPr>
            <w:tcW w:w="1200" w:type="dxa"/>
            <w:tcBorders>
              <w:top w:val="nil"/>
              <w:left w:val="nil"/>
              <w:bottom w:val="single" w:sz="4" w:space="0" w:color="auto"/>
              <w:right w:val="single" w:sz="4" w:space="0" w:color="auto"/>
            </w:tcBorders>
            <w:shd w:val="clear" w:color="auto" w:fill="auto"/>
            <w:vAlign w:val="center"/>
            <w:hideMark/>
          </w:tcPr>
          <w:p w14:paraId="76108D9D"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9.7 </w:t>
            </w:r>
          </w:p>
        </w:tc>
      </w:tr>
      <w:tr w:rsidR="009545C3" w:rsidRPr="007C411F" w14:paraId="7D0E6D4A"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02544C49"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External Guarantees</w:t>
            </w:r>
          </w:p>
        </w:tc>
        <w:tc>
          <w:tcPr>
            <w:tcW w:w="1380" w:type="dxa"/>
            <w:tcBorders>
              <w:top w:val="nil"/>
              <w:left w:val="single" w:sz="4" w:space="0" w:color="auto"/>
              <w:bottom w:val="nil"/>
              <w:right w:val="nil"/>
            </w:tcBorders>
            <w:shd w:val="clear" w:color="auto" w:fill="auto"/>
            <w:noWrap/>
            <w:vAlign w:val="bottom"/>
            <w:hideMark/>
          </w:tcPr>
          <w:p w14:paraId="76FF4B62"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w:t>
            </w:r>
          </w:p>
        </w:tc>
        <w:tc>
          <w:tcPr>
            <w:tcW w:w="1200" w:type="dxa"/>
            <w:tcBorders>
              <w:top w:val="nil"/>
              <w:left w:val="nil"/>
              <w:bottom w:val="nil"/>
              <w:right w:val="nil"/>
            </w:tcBorders>
            <w:shd w:val="clear" w:color="auto" w:fill="auto"/>
            <w:noWrap/>
            <w:vAlign w:val="bottom"/>
            <w:hideMark/>
          </w:tcPr>
          <w:p w14:paraId="3AFBD7A7"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w:t>
            </w:r>
          </w:p>
        </w:tc>
        <w:tc>
          <w:tcPr>
            <w:tcW w:w="1240" w:type="dxa"/>
            <w:tcBorders>
              <w:top w:val="nil"/>
              <w:left w:val="nil"/>
              <w:bottom w:val="nil"/>
              <w:right w:val="nil"/>
            </w:tcBorders>
            <w:shd w:val="clear" w:color="auto" w:fill="auto"/>
            <w:noWrap/>
            <w:vAlign w:val="bottom"/>
            <w:hideMark/>
          </w:tcPr>
          <w:p w14:paraId="6A8D058C"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w:t>
            </w:r>
          </w:p>
        </w:tc>
        <w:tc>
          <w:tcPr>
            <w:tcW w:w="1200" w:type="dxa"/>
            <w:tcBorders>
              <w:top w:val="nil"/>
              <w:left w:val="nil"/>
              <w:bottom w:val="single" w:sz="4" w:space="0" w:color="auto"/>
              <w:right w:val="single" w:sz="4" w:space="0" w:color="auto"/>
            </w:tcBorders>
            <w:shd w:val="clear" w:color="auto" w:fill="auto"/>
            <w:vAlign w:val="center"/>
            <w:hideMark/>
          </w:tcPr>
          <w:p w14:paraId="3F1AAA92"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3.6 </w:t>
            </w:r>
          </w:p>
        </w:tc>
      </w:tr>
      <w:tr w:rsidR="009545C3" w:rsidRPr="007C411F" w14:paraId="60FE98D4"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D83B050"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Domestic Debt</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14:paraId="300FAD6D"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311.7 </w:t>
            </w:r>
          </w:p>
        </w:tc>
        <w:tc>
          <w:tcPr>
            <w:tcW w:w="1200" w:type="dxa"/>
            <w:tcBorders>
              <w:top w:val="single" w:sz="4" w:space="0" w:color="auto"/>
              <w:left w:val="nil"/>
              <w:bottom w:val="single" w:sz="4" w:space="0" w:color="auto"/>
              <w:right w:val="nil"/>
            </w:tcBorders>
            <w:shd w:val="clear" w:color="auto" w:fill="auto"/>
            <w:vAlign w:val="center"/>
            <w:hideMark/>
          </w:tcPr>
          <w:p w14:paraId="647D098F"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368.4 </w:t>
            </w:r>
          </w:p>
        </w:tc>
        <w:tc>
          <w:tcPr>
            <w:tcW w:w="1240" w:type="dxa"/>
            <w:tcBorders>
              <w:top w:val="single" w:sz="4" w:space="0" w:color="auto"/>
              <w:left w:val="nil"/>
              <w:bottom w:val="single" w:sz="4" w:space="0" w:color="auto"/>
              <w:right w:val="nil"/>
            </w:tcBorders>
            <w:shd w:val="clear" w:color="auto" w:fill="auto"/>
            <w:vAlign w:val="center"/>
            <w:hideMark/>
          </w:tcPr>
          <w:p w14:paraId="2BE4A06C"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550.0 </w:t>
            </w:r>
          </w:p>
        </w:tc>
        <w:tc>
          <w:tcPr>
            <w:tcW w:w="1200" w:type="dxa"/>
            <w:tcBorders>
              <w:top w:val="nil"/>
              <w:left w:val="nil"/>
              <w:bottom w:val="single" w:sz="4" w:space="0" w:color="auto"/>
              <w:right w:val="single" w:sz="4" w:space="0" w:color="auto"/>
            </w:tcBorders>
            <w:shd w:val="clear" w:color="auto" w:fill="auto"/>
            <w:vAlign w:val="center"/>
            <w:hideMark/>
          </w:tcPr>
          <w:p w14:paraId="7CEB112B"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619.5 </w:t>
            </w:r>
          </w:p>
        </w:tc>
      </w:tr>
      <w:tr w:rsidR="009545C3" w:rsidRPr="007C411F" w14:paraId="7F453166"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239E0BF"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Domestic Loans</w:t>
            </w:r>
          </w:p>
        </w:tc>
        <w:tc>
          <w:tcPr>
            <w:tcW w:w="1380" w:type="dxa"/>
            <w:tcBorders>
              <w:top w:val="nil"/>
              <w:left w:val="single" w:sz="4" w:space="0" w:color="auto"/>
              <w:bottom w:val="single" w:sz="4" w:space="0" w:color="auto"/>
              <w:right w:val="nil"/>
            </w:tcBorders>
            <w:shd w:val="clear" w:color="auto" w:fill="auto"/>
            <w:vAlign w:val="center"/>
            <w:hideMark/>
          </w:tcPr>
          <w:p w14:paraId="216FD029"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1.9 </w:t>
            </w:r>
          </w:p>
        </w:tc>
        <w:tc>
          <w:tcPr>
            <w:tcW w:w="1200" w:type="dxa"/>
            <w:tcBorders>
              <w:top w:val="nil"/>
              <w:left w:val="nil"/>
              <w:bottom w:val="nil"/>
              <w:right w:val="nil"/>
            </w:tcBorders>
            <w:shd w:val="clear" w:color="auto" w:fill="auto"/>
            <w:noWrap/>
            <w:vAlign w:val="bottom"/>
            <w:hideMark/>
          </w:tcPr>
          <w:p w14:paraId="59918764" w14:textId="77777777" w:rsidR="009545C3" w:rsidRPr="007C411F" w:rsidRDefault="009545C3" w:rsidP="00F528C6">
            <w:pPr>
              <w:jc w:val="right"/>
              <w:rPr>
                <w:rFonts w:ascii="Calibri" w:eastAsia="Times New Roman" w:hAnsi="Calibri" w:cs="Calibri"/>
                <w:color w:val="000000"/>
                <w:lang w:eastAsia="en-GB"/>
              </w:rPr>
            </w:pPr>
            <w:r w:rsidRPr="007C411F">
              <w:rPr>
                <w:rFonts w:ascii="Calibri" w:eastAsia="Times New Roman" w:hAnsi="Calibri" w:cs="Calibri"/>
                <w:color w:val="000000"/>
                <w:lang w:eastAsia="en-GB"/>
              </w:rPr>
              <w:t>-</w:t>
            </w:r>
          </w:p>
        </w:tc>
        <w:tc>
          <w:tcPr>
            <w:tcW w:w="1240" w:type="dxa"/>
            <w:tcBorders>
              <w:top w:val="nil"/>
              <w:left w:val="nil"/>
              <w:bottom w:val="single" w:sz="4" w:space="0" w:color="auto"/>
              <w:right w:val="nil"/>
            </w:tcBorders>
            <w:shd w:val="clear" w:color="auto" w:fill="auto"/>
            <w:vAlign w:val="center"/>
            <w:hideMark/>
          </w:tcPr>
          <w:p w14:paraId="3F03E0A5"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2CDE134"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 </w:t>
            </w:r>
          </w:p>
        </w:tc>
      </w:tr>
      <w:tr w:rsidR="009545C3" w:rsidRPr="007C411F" w14:paraId="2E813741"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1C850806"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Govt</w:t>
            </w:r>
            <w:r>
              <w:rPr>
                <w:rFonts w:ascii="Calibri" w:eastAsia="Times New Roman" w:hAnsi="Calibri" w:cs="Calibri"/>
                <w:color w:val="000000"/>
                <w:lang w:eastAsia="en-GB"/>
              </w:rPr>
              <w:t>.</w:t>
            </w:r>
            <w:r w:rsidRPr="007C411F">
              <w:rPr>
                <w:rFonts w:ascii="Calibri" w:eastAsia="Times New Roman" w:hAnsi="Calibri" w:cs="Calibri"/>
                <w:color w:val="000000"/>
                <w:lang w:eastAsia="en-GB"/>
              </w:rPr>
              <w:t xml:space="preserve"> Securities purchased by residents</w:t>
            </w:r>
          </w:p>
        </w:tc>
        <w:tc>
          <w:tcPr>
            <w:tcW w:w="1380" w:type="dxa"/>
            <w:tcBorders>
              <w:top w:val="nil"/>
              <w:left w:val="single" w:sz="4" w:space="0" w:color="auto"/>
              <w:bottom w:val="single" w:sz="4" w:space="0" w:color="auto"/>
              <w:right w:val="nil"/>
            </w:tcBorders>
            <w:shd w:val="clear" w:color="auto" w:fill="auto"/>
            <w:vAlign w:val="center"/>
            <w:hideMark/>
          </w:tcPr>
          <w:p w14:paraId="36918C4C"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289.4 </w:t>
            </w:r>
          </w:p>
        </w:tc>
        <w:tc>
          <w:tcPr>
            <w:tcW w:w="1200" w:type="dxa"/>
            <w:tcBorders>
              <w:top w:val="single" w:sz="4" w:space="0" w:color="auto"/>
              <w:left w:val="nil"/>
              <w:bottom w:val="single" w:sz="4" w:space="0" w:color="auto"/>
              <w:right w:val="nil"/>
            </w:tcBorders>
            <w:shd w:val="clear" w:color="auto" w:fill="auto"/>
            <w:vAlign w:val="center"/>
            <w:hideMark/>
          </w:tcPr>
          <w:p w14:paraId="08C00958"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320.0 </w:t>
            </w:r>
          </w:p>
        </w:tc>
        <w:tc>
          <w:tcPr>
            <w:tcW w:w="1240" w:type="dxa"/>
            <w:tcBorders>
              <w:top w:val="nil"/>
              <w:left w:val="nil"/>
              <w:bottom w:val="single" w:sz="4" w:space="0" w:color="auto"/>
              <w:right w:val="nil"/>
            </w:tcBorders>
            <w:shd w:val="clear" w:color="auto" w:fill="auto"/>
            <w:vAlign w:val="center"/>
            <w:hideMark/>
          </w:tcPr>
          <w:p w14:paraId="4A331E41"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500.3 </w:t>
            </w:r>
          </w:p>
        </w:tc>
        <w:tc>
          <w:tcPr>
            <w:tcW w:w="1200" w:type="dxa"/>
            <w:tcBorders>
              <w:top w:val="nil"/>
              <w:left w:val="nil"/>
              <w:bottom w:val="single" w:sz="4" w:space="0" w:color="auto"/>
              <w:right w:val="single" w:sz="4" w:space="0" w:color="auto"/>
            </w:tcBorders>
            <w:shd w:val="clear" w:color="auto" w:fill="auto"/>
            <w:vAlign w:val="center"/>
            <w:hideMark/>
          </w:tcPr>
          <w:p w14:paraId="261C80AD"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540.0 </w:t>
            </w:r>
          </w:p>
        </w:tc>
      </w:tr>
      <w:tr w:rsidR="009545C3" w:rsidRPr="007C411F" w14:paraId="2E9F4F9E"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E317A40"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Eurobonds purchased by residents</w:t>
            </w:r>
          </w:p>
        </w:tc>
        <w:tc>
          <w:tcPr>
            <w:tcW w:w="1380" w:type="dxa"/>
            <w:tcBorders>
              <w:top w:val="nil"/>
              <w:left w:val="single" w:sz="4" w:space="0" w:color="auto"/>
              <w:bottom w:val="single" w:sz="4" w:space="0" w:color="auto"/>
              <w:right w:val="nil"/>
            </w:tcBorders>
            <w:shd w:val="clear" w:color="auto" w:fill="auto"/>
            <w:vAlign w:val="center"/>
            <w:hideMark/>
          </w:tcPr>
          <w:p w14:paraId="3B2BC796"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19.4 </w:t>
            </w:r>
          </w:p>
        </w:tc>
        <w:tc>
          <w:tcPr>
            <w:tcW w:w="1200" w:type="dxa"/>
            <w:tcBorders>
              <w:top w:val="nil"/>
              <w:left w:val="nil"/>
              <w:bottom w:val="single" w:sz="4" w:space="0" w:color="auto"/>
              <w:right w:val="nil"/>
            </w:tcBorders>
            <w:shd w:val="clear" w:color="auto" w:fill="auto"/>
            <w:vAlign w:val="center"/>
            <w:hideMark/>
          </w:tcPr>
          <w:p w14:paraId="19949345"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47.4 </w:t>
            </w:r>
          </w:p>
        </w:tc>
        <w:tc>
          <w:tcPr>
            <w:tcW w:w="1240" w:type="dxa"/>
            <w:tcBorders>
              <w:top w:val="nil"/>
              <w:left w:val="nil"/>
              <w:bottom w:val="single" w:sz="4" w:space="0" w:color="auto"/>
              <w:right w:val="nil"/>
            </w:tcBorders>
            <w:shd w:val="clear" w:color="auto" w:fill="auto"/>
            <w:vAlign w:val="center"/>
            <w:hideMark/>
          </w:tcPr>
          <w:p w14:paraId="73E2865F"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46.3 </w:t>
            </w:r>
          </w:p>
        </w:tc>
        <w:tc>
          <w:tcPr>
            <w:tcW w:w="1200" w:type="dxa"/>
            <w:tcBorders>
              <w:top w:val="nil"/>
              <w:left w:val="nil"/>
              <w:bottom w:val="single" w:sz="4" w:space="0" w:color="auto"/>
              <w:right w:val="single" w:sz="4" w:space="0" w:color="auto"/>
            </w:tcBorders>
            <w:shd w:val="clear" w:color="auto" w:fill="auto"/>
            <w:vAlign w:val="center"/>
            <w:hideMark/>
          </w:tcPr>
          <w:p w14:paraId="5449CF37" w14:textId="77777777" w:rsidR="009545C3" w:rsidRPr="007C411F" w:rsidRDefault="009545C3" w:rsidP="00F528C6">
            <w:pPr>
              <w:jc w:val="right"/>
              <w:rPr>
                <w:rFonts w:ascii="GHEA Grapalat" w:eastAsia="Times New Roman" w:hAnsi="GHEA Grapalat" w:cs="Calibri"/>
                <w:i/>
                <w:iCs/>
                <w:sz w:val="20"/>
                <w:szCs w:val="20"/>
                <w:lang w:eastAsia="en-GB"/>
              </w:rPr>
            </w:pPr>
            <w:r w:rsidRPr="007C411F">
              <w:rPr>
                <w:rFonts w:ascii="GHEA Grapalat" w:eastAsia="Times New Roman" w:hAnsi="GHEA Grapalat" w:cs="Calibri"/>
                <w:i/>
                <w:iCs/>
                <w:sz w:val="20"/>
                <w:szCs w:val="20"/>
                <w:lang w:eastAsia="en-GB"/>
              </w:rPr>
              <w:t xml:space="preserve">    75.1 </w:t>
            </w:r>
          </w:p>
        </w:tc>
      </w:tr>
      <w:tr w:rsidR="009545C3" w:rsidRPr="007C411F" w14:paraId="227600A4"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30BE23AF"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Domestic Guarantees</w:t>
            </w:r>
          </w:p>
        </w:tc>
        <w:tc>
          <w:tcPr>
            <w:tcW w:w="1380" w:type="dxa"/>
            <w:tcBorders>
              <w:top w:val="nil"/>
              <w:left w:val="single" w:sz="4" w:space="0" w:color="auto"/>
              <w:bottom w:val="single" w:sz="4" w:space="0" w:color="auto"/>
              <w:right w:val="nil"/>
            </w:tcBorders>
            <w:shd w:val="clear" w:color="auto" w:fill="auto"/>
            <w:vAlign w:val="center"/>
            <w:hideMark/>
          </w:tcPr>
          <w:p w14:paraId="096BCEC3"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1.0 </w:t>
            </w:r>
          </w:p>
        </w:tc>
        <w:tc>
          <w:tcPr>
            <w:tcW w:w="1200" w:type="dxa"/>
            <w:tcBorders>
              <w:top w:val="nil"/>
              <w:left w:val="nil"/>
              <w:bottom w:val="single" w:sz="4" w:space="0" w:color="auto"/>
              <w:right w:val="nil"/>
            </w:tcBorders>
            <w:shd w:val="clear" w:color="auto" w:fill="auto"/>
            <w:vAlign w:val="center"/>
            <w:hideMark/>
          </w:tcPr>
          <w:p w14:paraId="07E7CEAF"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1.0 </w:t>
            </w:r>
          </w:p>
        </w:tc>
        <w:tc>
          <w:tcPr>
            <w:tcW w:w="1240" w:type="dxa"/>
            <w:tcBorders>
              <w:top w:val="nil"/>
              <w:left w:val="nil"/>
              <w:bottom w:val="single" w:sz="4" w:space="0" w:color="auto"/>
              <w:right w:val="nil"/>
            </w:tcBorders>
            <w:shd w:val="clear" w:color="auto" w:fill="auto"/>
            <w:vAlign w:val="center"/>
            <w:hideMark/>
          </w:tcPr>
          <w:p w14:paraId="62F0B9C2"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3.4 </w:t>
            </w:r>
          </w:p>
        </w:tc>
        <w:tc>
          <w:tcPr>
            <w:tcW w:w="1200" w:type="dxa"/>
            <w:tcBorders>
              <w:top w:val="nil"/>
              <w:left w:val="nil"/>
              <w:bottom w:val="single" w:sz="4" w:space="0" w:color="auto"/>
              <w:right w:val="single" w:sz="4" w:space="0" w:color="auto"/>
            </w:tcBorders>
            <w:shd w:val="clear" w:color="auto" w:fill="auto"/>
            <w:vAlign w:val="center"/>
            <w:hideMark/>
          </w:tcPr>
          <w:p w14:paraId="48132B6E"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4.4 </w:t>
            </w:r>
          </w:p>
        </w:tc>
      </w:tr>
      <w:tr w:rsidR="009545C3" w:rsidRPr="007C411F" w14:paraId="618E18AB" w14:textId="77777777" w:rsidTr="00F528C6">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40359B7" w14:textId="77777777" w:rsidR="009545C3" w:rsidRPr="007C411F" w:rsidRDefault="009545C3" w:rsidP="00F528C6">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C411F">
              <w:rPr>
                <w:rFonts w:ascii="Calibri" w:eastAsia="Times New Roman" w:hAnsi="Calibri" w:cs="Calibri"/>
                <w:color w:val="000000"/>
                <w:lang w:eastAsia="en-GB"/>
              </w:rPr>
              <w:t>External Debt of Central Bank of Armenia</w:t>
            </w:r>
          </w:p>
        </w:tc>
        <w:tc>
          <w:tcPr>
            <w:tcW w:w="1380" w:type="dxa"/>
            <w:tcBorders>
              <w:top w:val="nil"/>
              <w:left w:val="single" w:sz="4" w:space="0" w:color="auto"/>
              <w:bottom w:val="single" w:sz="4" w:space="0" w:color="auto"/>
              <w:right w:val="nil"/>
            </w:tcBorders>
            <w:shd w:val="clear" w:color="auto" w:fill="auto"/>
            <w:vAlign w:val="center"/>
            <w:hideMark/>
          </w:tcPr>
          <w:p w14:paraId="2F95758F"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209.0 </w:t>
            </w:r>
          </w:p>
        </w:tc>
        <w:tc>
          <w:tcPr>
            <w:tcW w:w="1200" w:type="dxa"/>
            <w:tcBorders>
              <w:top w:val="nil"/>
              <w:left w:val="nil"/>
              <w:bottom w:val="single" w:sz="4" w:space="0" w:color="auto"/>
              <w:right w:val="nil"/>
            </w:tcBorders>
            <w:shd w:val="clear" w:color="auto" w:fill="auto"/>
            <w:vAlign w:val="center"/>
            <w:hideMark/>
          </w:tcPr>
          <w:p w14:paraId="13CBABA5"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230.4 </w:t>
            </w:r>
          </w:p>
        </w:tc>
        <w:tc>
          <w:tcPr>
            <w:tcW w:w="1240" w:type="dxa"/>
            <w:tcBorders>
              <w:top w:val="nil"/>
              <w:left w:val="nil"/>
              <w:bottom w:val="single" w:sz="4" w:space="0" w:color="auto"/>
              <w:right w:val="nil"/>
            </w:tcBorders>
            <w:shd w:val="clear" w:color="auto" w:fill="auto"/>
            <w:vAlign w:val="center"/>
            <w:hideMark/>
          </w:tcPr>
          <w:p w14:paraId="0784915E"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244.2 </w:t>
            </w:r>
          </w:p>
        </w:tc>
        <w:tc>
          <w:tcPr>
            <w:tcW w:w="1200" w:type="dxa"/>
            <w:tcBorders>
              <w:top w:val="nil"/>
              <w:left w:val="nil"/>
              <w:bottom w:val="single" w:sz="4" w:space="0" w:color="auto"/>
              <w:right w:val="single" w:sz="4" w:space="0" w:color="auto"/>
            </w:tcBorders>
            <w:shd w:val="clear" w:color="auto" w:fill="auto"/>
            <w:vAlign w:val="center"/>
            <w:hideMark/>
          </w:tcPr>
          <w:p w14:paraId="03C96E03" w14:textId="77777777" w:rsidR="009545C3" w:rsidRPr="007C411F" w:rsidRDefault="009545C3" w:rsidP="00F528C6">
            <w:pPr>
              <w:jc w:val="right"/>
              <w:rPr>
                <w:rFonts w:ascii="GHEA Grapalat" w:eastAsia="Times New Roman" w:hAnsi="GHEA Grapalat" w:cs="Calibri"/>
                <w:bCs/>
                <w:sz w:val="20"/>
                <w:szCs w:val="20"/>
                <w:lang w:eastAsia="en-GB"/>
              </w:rPr>
            </w:pPr>
            <w:r w:rsidRPr="007C411F">
              <w:rPr>
                <w:rFonts w:ascii="GHEA Grapalat" w:eastAsia="Times New Roman" w:hAnsi="GHEA Grapalat" w:cs="Calibri"/>
                <w:bCs/>
                <w:sz w:val="20"/>
                <w:szCs w:val="20"/>
                <w:lang w:eastAsia="en-GB"/>
              </w:rPr>
              <w:t xml:space="preserve">   291.2 </w:t>
            </w:r>
          </w:p>
        </w:tc>
      </w:tr>
      <w:tr w:rsidR="009545C3" w:rsidRPr="007C411F" w14:paraId="0D0A7A40" w14:textId="77777777" w:rsidTr="00F528C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3553F13" w14:textId="77777777" w:rsidR="009545C3" w:rsidRPr="007C411F" w:rsidRDefault="009545C3" w:rsidP="00F528C6">
            <w:pPr>
              <w:rPr>
                <w:rFonts w:ascii="Calibri" w:eastAsia="Times New Roman" w:hAnsi="Calibri" w:cs="Calibri"/>
                <w:color w:val="000000"/>
                <w:lang w:eastAsia="en-GB"/>
              </w:rPr>
            </w:pPr>
            <w:r w:rsidRPr="007C411F">
              <w:rPr>
                <w:rFonts w:ascii="Calibri" w:eastAsia="Times New Roman" w:hAnsi="Calibri" w:cs="Calibri"/>
                <w:color w:val="000000"/>
                <w:lang w:eastAsia="en-GB"/>
              </w:rPr>
              <w:t xml:space="preserve">    </w:t>
            </w:r>
            <w:r>
              <w:rPr>
                <w:rFonts w:ascii="Calibri" w:eastAsia="Times New Roman" w:hAnsi="Calibri" w:cs="Calibri"/>
                <w:color w:val="000000"/>
                <w:lang w:eastAsia="en-GB"/>
              </w:rPr>
              <w:t>G</w:t>
            </w:r>
            <w:r w:rsidRPr="007C411F">
              <w:rPr>
                <w:rFonts w:ascii="Calibri" w:eastAsia="Times New Roman" w:hAnsi="Calibri" w:cs="Calibri"/>
                <w:color w:val="000000"/>
                <w:lang w:eastAsia="en-GB"/>
              </w:rPr>
              <w:t>uaranteed by Government</w:t>
            </w:r>
          </w:p>
        </w:tc>
        <w:tc>
          <w:tcPr>
            <w:tcW w:w="1380" w:type="dxa"/>
            <w:tcBorders>
              <w:top w:val="nil"/>
              <w:left w:val="single" w:sz="4" w:space="0" w:color="auto"/>
              <w:bottom w:val="single" w:sz="4" w:space="0" w:color="auto"/>
              <w:right w:val="nil"/>
            </w:tcBorders>
            <w:shd w:val="clear" w:color="auto" w:fill="auto"/>
            <w:vAlign w:val="center"/>
            <w:hideMark/>
          </w:tcPr>
          <w:p w14:paraId="18618569"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71.2 </w:t>
            </w:r>
          </w:p>
        </w:tc>
        <w:tc>
          <w:tcPr>
            <w:tcW w:w="1200" w:type="dxa"/>
            <w:tcBorders>
              <w:top w:val="nil"/>
              <w:left w:val="nil"/>
              <w:bottom w:val="single" w:sz="4" w:space="0" w:color="auto"/>
              <w:right w:val="nil"/>
            </w:tcBorders>
            <w:shd w:val="clear" w:color="auto" w:fill="auto"/>
            <w:vAlign w:val="center"/>
            <w:hideMark/>
          </w:tcPr>
          <w:p w14:paraId="7047C7E3"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68.1 </w:t>
            </w:r>
          </w:p>
        </w:tc>
        <w:tc>
          <w:tcPr>
            <w:tcW w:w="1240" w:type="dxa"/>
            <w:tcBorders>
              <w:top w:val="nil"/>
              <w:left w:val="nil"/>
              <w:bottom w:val="single" w:sz="4" w:space="0" w:color="auto"/>
              <w:right w:val="nil"/>
            </w:tcBorders>
            <w:shd w:val="clear" w:color="auto" w:fill="auto"/>
            <w:vAlign w:val="center"/>
            <w:hideMark/>
          </w:tcPr>
          <w:p w14:paraId="0CCC38E4"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70.8 </w:t>
            </w:r>
          </w:p>
        </w:tc>
        <w:tc>
          <w:tcPr>
            <w:tcW w:w="1200" w:type="dxa"/>
            <w:tcBorders>
              <w:top w:val="nil"/>
              <w:left w:val="nil"/>
              <w:bottom w:val="single" w:sz="4" w:space="0" w:color="auto"/>
              <w:right w:val="single" w:sz="4" w:space="0" w:color="auto"/>
            </w:tcBorders>
            <w:shd w:val="clear" w:color="auto" w:fill="auto"/>
            <w:vAlign w:val="center"/>
            <w:hideMark/>
          </w:tcPr>
          <w:p w14:paraId="11AF4C30" w14:textId="77777777" w:rsidR="009545C3" w:rsidRPr="007C411F" w:rsidRDefault="009545C3" w:rsidP="00F528C6">
            <w:pPr>
              <w:jc w:val="right"/>
              <w:rPr>
                <w:rFonts w:ascii="GHEA Grapalat" w:eastAsia="Times New Roman" w:hAnsi="GHEA Grapalat" w:cs="Calibri"/>
                <w:sz w:val="20"/>
                <w:szCs w:val="20"/>
                <w:lang w:eastAsia="en-GB"/>
              </w:rPr>
            </w:pPr>
            <w:r w:rsidRPr="007C411F">
              <w:rPr>
                <w:rFonts w:ascii="GHEA Grapalat" w:eastAsia="Times New Roman" w:hAnsi="GHEA Grapalat" w:cs="Calibri"/>
                <w:sz w:val="20"/>
                <w:szCs w:val="20"/>
                <w:lang w:eastAsia="en-GB"/>
              </w:rPr>
              <w:t xml:space="preserve">    76.7 </w:t>
            </w:r>
          </w:p>
        </w:tc>
      </w:tr>
    </w:tbl>
    <w:p w14:paraId="66008E30" w14:textId="77777777" w:rsidR="009545C3" w:rsidRDefault="009545C3" w:rsidP="009545C3">
      <w:pPr>
        <w:pStyle w:val="ListParagraph"/>
        <w:ind w:left="360"/>
        <w:jc w:val="both"/>
        <w:rPr>
          <w:rFonts w:eastAsia="Times New Roman"/>
          <w:b/>
        </w:rPr>
      </w:pPr>
    </w:p>
    <w:p w14:paraId="3E5BB655" w14:textId="115780AB" w:rsidR="009545C3" w:rsidRPr="00B148B3" w:rsidRDefault="009545C3" w:rsidP="009545C3">
      <w:pPr>
        <w:pStyle w:val="ListParagraph"/>
        <w:numPr>
          <w:ilvl w:val="0"/>
          <w:numId w:val="3"/>
        </w:numPr>
        <w:jc w:val="both"/>
        <w:rPr>
          <w:rFonts w:eastAsia="Times New Roman"/>
          <w:b/>
        </w:rPr>
      </w:pPr>
      <w:r>
        <w:rPr>
          <w:rFonts w:cs="Arial"/>
        </w:rPr>
        <w:t>In 2017, 79.3</w:t>
      </w:r>
      <w:r w:rsidRPr="00986E65">
        <w:rPr>
          <w:rFonts w:cs="Arial"/>
        </w:rPr>
        <w:t xml:space="preserve"> percent of </w:t>
      </w:r>
      <w:r>
        <w:rPr>
          <w:rFonts w:cs="Arial"/>
        </w:rPr>
        <w:t xml:space="preserve">total </w:t>
      </w:r>
      <w:r w:rsidRPr="00986E65">
        <w:rPr>
          <w:rFonts w:cs="Arial"/>
        </w:rPr>
        <w:t xml:space="preserve">government debt is external debt </w:t>
      </w:r>
      <w:r>
        <w:rPr>
          <w:rFonts w:cs="Arial"/>
        </w:rPr>
        <w:t xml:space="preserve">(US$ 4.9 billion) </w:t>
      </w:r>
      <w:r w:rsidRPr="00986E65">
        <w:rPr>
          <w:rFonts w:cs="Arial"/>
        </w:rPr>
        <w:t xml:space="preserve">with external loans </w:t>
      </w:r>
      <w:r>
        <w:rPr>
          <w:rFonts w:cs="Arial"/>
        </w:rPr>
        <w:t>and</w:t>
      </w:r>
      <w:r w:rsidRPr="00986E65">
        <w:rPr>
          <w:rFonts w:cs="Arial"/>
        </w:rPr>
        <w:t xml:space="preserve"> Eurobonds </w:t>
      </w:r>
      <w:r>
        <w:rPr>
          <w:rFonts w:cs="Arial"/>
        </w:rPr>
        <w:t xml:space="preserve">held by non-residents </w:t>
      </w:r>
      <w:r w:rsidRPr="00986E65">
        <w:rPr>
          <w:rFonts w:cs="Arial"/>
        </w:rPr>
        <w:t xml:space="preserve">accounting for 65.1 percent </w:t>
      </w:r>
      <w:r>
        <w:rPr>
          <w:rFonts w:cs="Arial"/>
        </w:rPr>
        <w:t xml:space="preserve">(US$ 4.0 billion) </w:t>
      </w:r>
      <w:r w:rsidRPr="00986E65">
        <w:rPr>
          <w:rFonts w:cs="Arial"/>
        </w:rPr>
        <w:t xml:space="preserve">and 13.5 percent </w:t>
      </w:r>
      <w:r>
        <w:rPr>
          <w:rFonts w:cs="Arial"/>
        </w:rPr>
        <w:t xml:space="preserve">(US$ 0.8 billion) </w:t>
      </w:r>
      <w:r w:rsidRPr="00986E65">
        <w:rPr>
          <w:rFonts w:cs="Arial"/>
        </w:rPr>
        <w:t>of total debt respectively</w:t>
      </w:r>
      <w:r>
        <w:rPr>
          <w:rFonts w:cs="Arial"/>
        </w:rPr>
        <w:t xml:space="preserve"> (Figure 3)</w:t>
      </w:r>
      <w:r w:rsidRPr="00986E65">
        <w:rPr>
          <w:rFonts w:cs="Arial"/>
        </w:rPr>
        <w:t xml:space="preserve">. </w:t>
      </w:r>
      <w:r>
        <w:rPr>
          <w:rFonts w:cs="Arial"/>
        </w:rPr>
        <w:t xml:space="preserve">Domestic government securities held by non-residents comprise 0.3 percent of total debt. Guarantees on external </w:t>
      </w:r>
      <w:proofErr w:type="gramStart"/>
      <w:r>
        <w:rPr>
          <w:rFonts w:cs="Arial"/>
        </w:rPr>
        <w:t>debt which has been issued for only one loan in 2017</w:t>
      </w:r>
      <w:proofErr w:type="gramEnd"/>
      <w:r>
        <w:rPr>
          <w:rFonts w:cs="Arial"/>
        </w:rPr>
        <w:t xml:space="preserve"> account for 0.1 percent of total debt. Domestic debt accounts for the remaining 20.7 percent of total government debt dominated by government securities held by residents at 18.1 percent. Residents holding Eurobonds accounted for 2.5 percent of total debt (US$ 0.2 billion) while domestic guarantees stood at 0.1 percent.  </w:t>
      </w:r>
    </w:p>
    <w:p w14:paraId="64EFD77E" w14:textId="77777777" w:rsidR="00B148B3" w:rsidRPr="00E75E9B" w:rsidRDefault="00B148B3" w:rsidP="00B148B3">
      <w:pPr>
        <w:pStyle w:val="ListParagraph"/>
        <w:ind w:left="360"/>
        <w:jc w:val="both"/>
        <w:rPr>
          <w:rFonts w:eastAsia="Times New Roman"/>
          <w:b/>
        </w:rPr>
      </w:pPr>
    </w:p>
    <w:p w14:paraId="21F2F15A" w14:textId="227FB04F" w:rsidR="009545C3" w:rsidRPr="00B148B3" w:rsidRDefault="009545C3" w:rsidP="00B148B3">
      <w:pPr>
        <w:pStyle w:val="NoSpacing"/>
      </w:pPr>
      <w:r w:rsidRPr="00B148B3">
        <w:t>Figure 3: Composition of Government Debt by Instruments</w:t>
      </w:r>
    </w:p>
    <w:p w14:paraId="0021D873" w14:textId="4653193B" w:rsidR="009545C3" w:rsidRPr="00986E65" w:rsidRDefault="009C00DC" w:rsidP="009545C3">
      <w:pPr>
        <w:pStyle w:val="ListParagraph"/>
        <w:ind w:left="360"/>
        <w:jc w:val="both"/>
        <w:rPr>
          <w:rFonts w:eastAsia="Times New Roman"/>
          <w:b/>
        </w:rPr>
      </w:pPr>
      <w:r>
        <w:rPr>
          <w:rFonts w:eastAsia="Times New Roman"/>
          <w:b/>
          <w:noProof/>
          <w:lang w:eastAsia="en-US"/>
        </w:rPr>
        <w:drawing>
          <wp:inline distT="0" distB="0" distL="0" distR="0" wp14:anchorId="3434E1EA" wp14:editId="740B5AE2">
            <wp:extent cx="4029075" cy="225561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0161" cy="2261818"/>
                    </a:xfrm>
                    <a:prstGeom prst="rect">
                      <a:avLst/>
                    </a:prstGeom>
                    <a:noFill/>
                  </pic:spPr>
                </pic:pic>
              </a:graphicData>
            </a:graphic>
          </wp:inline>
        </w:drawing>
      </w:r>
    </w:p>
    <w:p w14:paraId="2D796395" w14:textId="77777777" w:rsidR="009545C3" w:rsidRPr="00986E65" w:rsidRDefault="009545C3" w:rsidP="009545C3">
      <w:pPr>
        <w:pStyle w:val="ListParagraph"/>
        <w:ind w:left="360"/>
        <w:jc w:val="both"/>
        <w:rPr>
          <w:rFonts w:eastAsia="Times New Roman"/>
          <w:b/>
        </w:rPr>
      </w:pPr>
    </w:p>
    <w:p w14:paraId="5E6665A7" w14:textId="77777777" w:rsidR="009545C3" w:rsidRPr="00385AA5" w:rsidRDefault="009545C3" w:rsidP="009545C3">
      <w:pPr>
        <w:jc w:val="both"/>
        <w:rPr>
          <w:rFonts w:cs="Arial"/>
        </w:rPr>
      </w:pPr>
    </w:p>
    <w:p w14:paraId="1956951B" w14:textId="77777777" w:rsidR="009545C3" w:rsidRDefault="009545C3" w:rsidP="009545C3">
      <w:pPr>
        <w:pStyle w:val="ListParagraph"/>
        <w:numPr>
          <w:ilvl w:val="0"/>
          <w:numId w:val="3"/>
        </w:numPr>
        <w:jc w:val="both"/>
        <w:rPr>
          <w:rFonts w:cs="Arial"/>
        </w:rPr>
      </w:pPr>
      <w:r>
        <w:rPr>
          <w:rFonts w:cs="Arial"/>
        </w:rPr>
        <w:t xml:space="preserve">Government external debt </w:t>
      </w:r>
      <w:proofErr w:type="gramStart"/>
      <w:r>
        <w:rPr>
          <w:rFonts w:cs="Arial"/>
        </w:rPr>
        <w:t>is dominated</w:t>
      </w:r>
      <w:proofErr w:type="gramEnd"/>
      <w:r>
        <w:rPr>
          <w:rFonts w:cs="Arial"/>
        </w:rPr>
        <w:t xml:space="preserve"> by multilateral loans with a share of 78.8 percent of external loans, followed by bilateral debt at 20.6 percent and commercial loans at 0.6 percent. Legacy IDA debt from the World Bank accounted for 28.1 percent of total external loans followed by ADB loans at 16.0 percent and IBRD debt from the World Bank at 15.7 percent. Within bilateral debt, loans from Russia accounted for 6.3 percent of total external loans followed by Japan at 5.9 percent. The external loan portfolio reflects a mix of concessional and semi-concessional debt with long maturity at 10.4 years at low interest rates of 2.1 percent. However, the share of concessional loans has been declining in recent years with Armenia’s graduation to lower middle-income status. </w:t>
      </w:r>
    </w:p>
    <w:p w14:paraId="29A2F3B1" w14:textId="77777777" w:rsidR="009545C3" w:rsidRDefault="009545C3" w:rsidP="009545C3">
      <w:pPr>
        <w:pStyle w:val="ListParagraph"/>
        <w:ind w:left="360"/>
        <w:jc w:val="both"/>
        <w:rPr>
          <w:rFonts w:cs="Arial"/>
        </w:rPr>
      </w:pPr>
    </w:p>
    <w:p w14:paraId="6B6BA0B2" w14:textId="77777777" w:rsidR="009545C3" w:rsidRDefault="009545C3" w:rsidP="009545C3">
      <w:pPr>
        <w:pStyle w:val="ListParagraph"/>
        <w:numPr>
          <w:ilvl w:val="0"/>
          <w:numId w:val="3"/>
        </w:numPr>
        <w:jc w:val="both"/>
        <w:rPr>
          <w:rFonts w:cs="Arial"/>
        </w:rPr>
      </w:pPr>
      <w:r>
        <w:rPr>
          <w:rFonts w:cs="Arial"/>
        </w:rPr>
        <w:t xml:space="preserve">Two outstanding Eurobonds issued in 2013 and 2015 amounting to US$ 500.1 million and US$ 500.0 million matures in September 2020 and March 2025 respectively. The 2013 Eurobond </w:t>
      </w:r>
      <w:proofErr w:type="gramStart"/>
      <w:r>
        <w:rPr>
          <w:rFonts w:cs="Arial"/>
        </w:rPr>
        <w:t>was initially issued</w:t>
      </w:r>
      <w:proofErr w:type="gramEnd"/>
      <w:r>
        <w:rPr>
          <w:rFonts w:cs="Arial"/>
        </w:rPr>
        <w:t xml:space="preserve"> for US$ 700.0 million out of which US$ 199.9 million was bought back in 2015 with the proceeds of Eurobond issued in 2015. The coupons on the two bonds are 6.0 percent and 7.15 percent respectively.  </w:t>
      </w:r>
    </w:p>
    <w:p w14:paraId="1B00ACE0" w14:textId="77777777" w:rsidR="009545C3" w:rsidRPr="0093258E" w:rsidRDefault="009545C3" w:rsidP="009545C3">
      <w:pPr>
        <w:jc w:val="both"/>
        <w:rPr>
          <w:rFonts w:cs="Arial"/>
        </w:rPr>
      </w:pPr>
    </w:p>
    <w:p w14:paraId="03F4C98C" w14:textId="77777777" w:rsidR="009545C3" w:rsidRDefault="009545C3" w:rsidP="009545C3">
      <w:pPr>
        <w:numPr>
          <w:ilvl w:val="0"/>
          <w:numId w:val="3"/>
        </w:numPr>
        <w:ind w:left="357" w:right="11" w:hanging="357"/>
        <w:jc w:val="both"/>
        <w:rPr>
          <w:rFonts w:cs="Arial"/>
        </w:rPr>
      </w:pPr>
      <w:r>
        <w:rPr>
          <w:rFonts w:cs="Arial"/>
        </w:rPr>
        <w:t>Outstanding Government securities (G-Sec) issued in the local market comprised 8.9 percent of total government debt. Medium-term Notes and Long-term bonds constituted the bulk of the outstanding G-Sec accounting for 43.9 and 51.4 percent of total G-Sec respectively. Treasury Bills (T Bills) amounted to 4.1 percent of total G-Sec while Savings Bonds comprised 0.6 percent of G-Sec. Medium term Notes comprise bonds of 1.5 – 5 years maturities while Long-term Bonds comprise between 6 – 30 years maturities. The weighted average yield on G-Sec remained at 13.1 percent with the average maturity at 7.6 years.</w:t>
      </w:r>
    </w:p>
    <w:p w14:paraId="60E4ADDD" w14:textId="77777777" w:rsidR="009545C3" w:rsidRDefault="009545C3" w:rsidP="009545C3">
      <w:pPr>
        <w:pStyle w:val="ListParagraph"/>
        <w:rPr>
          <w:rFonts w:cs="Arial"/>
        </w:rPr>
      </w:pPr>
    </w:p>
    <w:p w14:paraId="3FEEE55B" w14:textId="3A674A34" w:rsidR="009545C3" w:rsidRDefault="009545C3" w:rsidP="009545C3">
      <w:pPr>
        <w:numPr>
          <w:ilvl w:val="0"/>
          <w:numId w:val="3"/>
        </w:numPr>
        <w:ind w:left="357" w:right="11" w:hanging="357"/>
        <w:jc w:val="both"/>
        <w:rPr>
          <w:rFonts w:cs="Arial"/>
        </w:rPr>
      </w:pPr>
      <w:r>
        <w:rPr>
          <w:rFonts w:cs="Arial"/>
        </w:rPr>
        <w:t xml:space="preserve">T Bills of different maturities ranging from </w:t>
      </w:r>
      <w:proofErr w:type="gramStart"/>
      <w:r>
        <w:rPr>
          <w:rFonts w:cs="Arial"/>
        </w:rPr>
        <w:t>1</w:t>
      </w:r>
      <w:proofErr w:type="gramEnd"/>
      <w:r>
        <w:rPr>
          <w:rFonts w:cs="Arial"/>
        </w:rPr>
        <w:t xml:space="preserve"> to 52 weeks have been issued in the past for various purposes. T Bills of 1-3 weeks </w:t>
      </w:r>
      <w:proofErr w:type="gramStart"/>
      <w:r>
        <w:rPr>
          <w:rFonts w:cs="Arial"/>
        </w:rPr>
        <w:t>were issued</w:t>
      </w:r>
      <w:proofErr w:type="gramEnd"/>
      <w:r>
        <w:rPr>
          <w:rFonts w:cs="Arial"/>
        </w:rPr>
        <w:t xml:space="preserve"> for cash management, 4-12 weeks for monetary policy and 13-52 weeks for deficit financing. However, since monetary policy operations </w:t>
      </w:r>
      <w:proofErr w:type="gramStart"/>
      <w:r>
        <w:rPr>
          <w:rFonts w:cs="Arial"/>
        </w:rPr>
        <w:t>are now mainly undertaken</w:t>
      </w:r>
      <w:proofErr w:type="gramEnd"/>
      <w:r>
        <w:rPr>
          <w:rFonts w:cs="Arial"/>
        </w:rPr>
        <w:t xml:space="preserve"> through repo operations, T Bills have not been issued in recent years for monetary policy purpose as well as for cash management purpose in the designated maturity buckets</w:t>
      </w:r>
      <w:r w:rsidR="00761F18">
        <w:rPr>
          <w:rFonts w:cs="Arial"/>
        </w:rPr>
        <w:t xml:space="preserve"> of 1-12 weeks</w:t>
      </w:r>
      <w:r>
        <w:rPr>
          <w:rFonts w:cs="Arial"/>
        </w:rPr>
        <w:t xml:space="preserve">. Four key maturities of 13, 26, 39 and 52 weeks </w:t>
      </w:r>
      <w:proofErr w:type="gramStart"/>
      <w:r>
        <w:rPr>
          <w:rFonts w:cs="Arial"/>
        </w:rPr>
        <w:t>are consequently issued</w:t>
      </w:r>
      <w:proofErr w:type="gramEnd"/>
      <w:r>
        <w:rPr>
          <w:rFonts w:cs="Arial"/>
        </w:rPr>
        <w:t xml:space="preserve"> for T-Bills.   </w:t>
      </w:r>
    </w:p>
    <w:p w14:paraId="0114E7FA" w14:textId="77777777" w:rsidR="009545C3" w:rsidRPr="00525E54" w:rsidRDefault="009545C3" w:rsidP="009545C3">
      <w:pPr>
        <w:ind w:left="357" w:right="11"/>
        <w:jc w:val="both"/>
        <w:rPr>
          <w:rFonts w:cs="Arial"/>
        </w:rPr>
      </w:pPr>
    </w:p>
    <w:p w14:paraId="1A140F74" w14:textId="77777777" w:rsidR="009545C3" w:rsidRPr="00E54A70" w:rsidRDefault="009545C3" w:rsidP="00466D0E">
      <w:pPr>
        <w:pStyle w:val="Topic1"/>
      </w:pPr>
      <w:bookmarkStart w:id="3" w:name="_Toc506537579"/>
      <w:r w:rsidRPr="00E54A70">
        <w:t>Technical Assistance</w:t>
      </w:r>
      <w:bookmarkEnd w:id="3"/>
    </w:p>
    <w:p w14:paraId="0EA1A060" w14:textId="77777777" w:rsidR="009545C3" w:rsidRPr="00E54A70" w:rsidRDefault="009545C3" w:rsidP="009545C3">
      <w:pPr>
        <w:jc w:val="both"/>
        <w:rPr>
          <w:rFonts w:cs="Arial"/>
          <w:b/>
        </w:rPr>
      </w:pPr>
    </w:p>
    <w:p w14:paraId="69922993" w14:textId="77777777" w:rsidR="009545C3" w:rsidRPr="003F5413" w:rsidRDefault="009545C3" w:rsidP="009545C3">
      <w:pPr>
        <w:pStyle w:val="ListParagraph"/>
        <w:numPr>
          <w:ilvl w:val="0"/>
          <w:numId w:val="3"/>
        </w:numPr>
        <w:jc w:val="both"/>
        <w:rPr>
          <w:rFonts w:cs="Arial"/>
        </w:rPr>
      </w:pPr>
      <w:proofErr w:type="gramStart"/>
      <w:r w:rsidRPr="002065CA">
        <w:rPr>
          <w:rFonts w:cs="Arial"/>
        </w:rPr>
        <w:t>This TA-</w:t>
      </w:r>
      <w:r>
        <w:rPr>
          <w:rFonts w:cs="Arial"/>
        </w:rPr>
        <w:t>9332 ARM</w:t>
      </w:r>
      <w:r w:rsidRPr="002065CA">
        <w:rPr>
          <w:rFonts w:cs="Arial"/>
        </w:rPr>
        <w:t xml:space="preserve"> foc</w:t>
      </w:r>
      <w:r>
        <w:rPr>
          <w:rFonts w:cs="Arial"/>
        </w:rPr>
        <w:t>uses on</w:t>
      </w:r>
      <w:r w:rsidRPr="002065CA">
        <w:rPr>
          <w:rFonts w:cs="Arial"/>
        </w:rPr>
        <w:t xml:space="preserve"> Strengthening Public Debt Management </w:t>
      </w:r>
      <w:r>
        <w:rPr>
          <w:rFonts w:cs="Arial"/>
        </w:rPr>
        <w:t>as part of its Public Efficiency and Financial Markets Program</w:t>
      </w:r>
      <w:r w:rsidRPr="002065CA">
        <w:rPr>
          <w:rFonts w:cs="Arial"/>
        </w:rPr>
        <w:t xml:space="preserve"> </w:t>
      </w:r>
      <w:r>
        <w:rPr>
          <w:rFonts w:cs="Arial"/>
        </w:rPr>
        <w:t>supporting Armenia’s Ministry of Finance - Debt Management Division to improve operations and make practices and strategies more effective and market development friendly, to include: (i) develop analytical capacity to improving operations and risk management framework through MTDS and other policy guidelines; (ii) propose reforms in issuance of Government securities for the development of capital markets; (iii) analyze the options for a faster repayment of foreign currency debt financed through domestic debt issuance; and (iv) make recommendations to improve cash management.</w:t>
      </w:r>
      <w:proofErr w:type="gramEnd"/>
      <w:r>
        <w:rPr>
          <w:rFonts w:cs="Arial"/>
        </w:rPr>
        <w:t xml:space="preserve"> </w:t>
      </w:r>
      <w:r w:rsidRPr="003F5413">
        <w:rPr>
          <w:rFonts w:cs="Arial"/>
        </w:rPr>
        <w:t>Please refer to Appendix 1 for the TA’s terms of reference (TOR).</w:t>
      </w:r>
    </w:p>
    <w:p w14:paraId="2751D26B" w14:textId="77777777" w:rsidR="009545C3" w:rsidRPr="00C36651" w:rsidRDefault="009545C3" w:rsidP="009545C3">
      <w:pPr>
        <w:pStyle w:val="ListParagraph"/>
        <w:ind w:left="360"/>
        <w:jc w:val="both"/>
        <w:rPr>
          <w:rFonts w:cs="Arial"/>
        </w:rPr>
      </w:pPr>
    </w:p>
    <w:p w14:paraId="09022525" w14:textId="77777777" w:rsidR="009545C3" w:rsidRDefault="009545C3" w:rsidP="009545C3">
      <w:pPr>
        <w:pStyle w:val="ListParagraph"/>
        <w:numPr>
          <w:ilvl w:val="0"/>
          <w:numId w:val="3"/>
        </w:numPr>
        <w:jc w:val="both"/>
        <w:rPr>
          <w:rFonts w:cs="Arial"/>
        </w:rPr>
      </w:pPr>
      <w:r w:rsidRPr="003F5413">
        <w:rPr>
          <w:rFonts w:cs="Arial"/>
        </w:rPr>
        <w:t xml:space="preserve">The </w:t>
      </w:r>
      <w:proofErr w:type="gramStart"/>
      <w:r w:rsidRPr="003F5413">
        <w:rPr>
          <w:rFonts w:cs="Arial"/>
        </w:rPr>
        <w:t>terms of engagement of the International Public Debt Management Expert is</w:t>
      </w:r>
      <w:proofErr w:type="gramEnd"/>
      <w:r w:rsidRPr="003F5413">
        <w:rPr>
          <w:rFonts w:cs="Arial"/>
        </w:rPr>
        <w:t xml:space="preserve"> </w:t>
      </w:r>
      <w:r>
        <w:rPr>
          <w:rFonts w:cs="Arial"/>
        </w:rPr>
        <w:t>three</w:t>
      </w:r>
      <w:r w:rsidRPr="003F5413">
        <w:rPr>
          <w:rFonts w:cs="Arial"/>
        </w:rPr>
        <w:t xml:space="preserve"> field mission</w:t>
      </w:r>
      <w:r>
        <w:rPr>
          <w:rFonts w:cs="Arial"/>
        </w:rPr>
        <w:t>s</w:t>
      </w:r>
      <w:r w:rsidRPr="003F5413">
        <w:rPr>
          <w:rFonts w:cs="Arial"/>
        </w:rPr>
        <w:t xml:space="preserve">, </w:t>
      </w:r>
      <w:r>
        <w:rPr>
          <w:rFonts w:cs="Arial"/>
        </w:rPr>
        <w:t>during 1 November 2017</w:t>
      </w:r>
      <w:r w:rsidRPr="003F5413">
        <w:rPr>
          <w:rFonts w:cs="Arial"/>
        </w:rPr>
        <w:t xml:space="preserve"> to 30 </w:t>
      </w:r>
      <w:r>
        <w:rPr>
          <w:rFonts w:cs="Arial"/>
        </w:rPr>
        <w:t>June</w:t>
      </w:r>
      <w:r w:rsidRPr="003F5413">
        <w:rPr>
          <w:rFonts w:cs="Arial"/>
        </w:rPr>
        <w:t xml:space="preserve"> 201</w:t>
      </w:r>
      <w:r>
        <w:rPr>
          <w:rFonts w:cs="Arial"/>
        </w:rPr>
        <w:t>8</w:t>
      </w:r>
      <w:r w:rsidRPr="003F5413">
        <w:rPr>
          <w:rFonts w:cs="Arial"/>
        </w:rPr>
        <w:t xml:space="preserve">, in </w:t>
      </w:r>
      <w:r>
        <w:rPr>
          <w:rFonts w:cs="Arial"/>
        </w:rPr>
        <w:t>Yerevan, Armenia.</w:t>
      </w:r>
    </w:p>
    <w:p w14:paraId="3257C0DA" w14:textId="77777777" w:rsidR="009545C3" w:rsidRPr="003F5413" w:rsidRDefault="009545C3" w:rsidP="009545C3">
      <w:pPr>
        <w:jc w:val="both"/>
        <w:rPr>
          <w:rFonts w:cs="Arial"/>
        </w:rPr>
      </w:pPr>
    </w:p>
    <w:p w14:paraId="6B8E3ED0" w14:textId="6F3EE0B4" w:rsidR="009545C3" w:rsidRPr="00BF755D" w:rsidRDefault="009545C3" w:rsidP="009545C3">
      <w:pPr>
        <w:pStyle w:val="ListParagraph"/>
        <w:numPr>
          <w:ilvl w:val="0"/>
          <w:numId w:val="3"/>
        </w:numPr>
        <w:jc w:val="both"/>
        <w:rPr>
          <w:rFonts w:cs="Arial"/>
        </w:rPr>
      </w:pPr>
      <w:bookmarkStart w:id="4" w:name="_Hlk509336905"/>
      <w:r w:rsidRPr="00E54A70">
        <w:rPr>
          <w:rFonts w:cs="Arial"/>
        </w:rPr>
        <w:lastRenderedPageBreak/>
        <w:t xml:space="preserve">Meetings </w:t>
      </w:r>
      <w:proofErr w:type="gramStart"/>
      <w:r w:rsidRPr="00E54A70">
        <w:rPr>
          <w:rFonts w:cs="Arial"/>
        </w:rPr>
        <w:t>were conducted</w:t>
      </w:r>
      <w:proofErr w:type="gramEnd"/>
      <w:r w:rsidRPr="00E54A70">
        <w:rPr>
          <w:rFonts w:cs="Arial"/>
        </w:rPr>
        <w:t xml:space="preserve"> with key stakeholders</w:t>
      </w:r>
      <w:r>
        <w:rPr>
          <w:rFonts w:cs="Arial"/>
        </w:rPr>
        <w:t xml:space="preserve"> in Armenia</w:t>
      </w:r>
      <w:r w:rsidRPr="00E54A70">
        <w:rPr>
          <w:rFonts w:cs="Arial"/>
        </w:rPr>
        <w:t xml:space="preserve"> re</w:t>
      </w:r>
      <w:r>
        <w:rPr>
          <w:rFonts w:cs="Arial"/>
        </w:rPr>
        <w:t>lating to public debt management and the development of the domestic government securities market</w:t>
      </w:r>
      <w:r w:rsidRPr="00E54A70">
        <w:rPr>
          <w:rFonts w:cs="Arial"/>
        </w:rPr>
        <w:t xml:space="preserve">. Individual meetings were conducted with </w:t>
      </w:r>
      <w:r>
        <w:rPr>
          <w:rFonts w:cs="Arial"/>
        </w:rPr>
        <w:t>the Ministry of Finance – Public Debt Management Department (PDMD)</w:t>
      </w:r>
      <w:r w:rsidR="00F17B59">
        <w:rPr>
          <w:rFonts w:cs="Arial"/>
        </w:rPr>
        <w:t>, Department of Obligations Management to State Budget</w:t>
      </w:r>
      <w:proofErr w:type="gramStart"/>
      <w:r w:rsidR="00F17B59">
        <w:rPr>
          <w:rFonts w:cs="Arial"/>
        </w:rPr>
        <w:t xml:space="preserve">, </w:t>
      </w:r>
      <w:r>
        <w:rPr>
          <w:rFonts w:cs="Arial"/>
        </w:rPr>
        <w:t xml:space="preserve"> and</w:t>
      </w:r>
      <w:proofErr w:type="gramEnd"/>
      <w:r>
        <w:rPr>
          <w:rFonts w:cs="Arial"/>
        </w:rPr>
        <w:t xml:space="preserve"> </w:t>
      </w:r>
      <w:r w:rsidR="00F17B59">
        <w:rPr>
          <w:rFonts w:cs="Arial"/>
        </w:rPr>
        <w:t>International Cooperation Department</w:t>
      </w:r>
      <w:r>
        <w:rPr>
          <w:rFonts w:cs="Arial"/>
        </w:rPr>
        <w:t xml:space="preserve">. </w:t>
      </w:r>
      <w:r w:rsidRPr="00BF755D">
        <w:rPr>
          <w:rFonts w:cs="Arial"/>
        </w:rPr>
        <w:t>A full list of meeti</w:t>
      </w:r>
      <w:r>
        <w:rPr>
          <w:rFonts w:cs="Arial"/>
        </w:rPr>
        <w:t xml:space="preserve">ngs is contained in section </w:t>
      </w:r>
      <w:r w:rsidRPr="00C76002">
        <w:rPr>
          <w:rFonts w:cs="Arial"/>
        </w:rPr>
        <w:t>5 o</w:t>
      </w:r>
      <w:r w:rsidRPr="00BF755D">
        <w:rPr>
          <w:rFonts w:cs="Arial"/>
        </w:rPr>
        <w:t>f this report.</w:t>
      </w:r>
    </w:p>
    <w:bookmarkEnd w:id="4"/>
    <w:p w14:paraId="4B0CA6AD" w14:textId="77777777" w:rsidR="009545C3" w:rsidRPr="00E54A70" w:rsidRDefault="009545C3" w:rsidP="009545C3">
      <w:pPr>
        <w:jc w:val="both"/>
        <w:rPr>
          <w:rFonts w:cs="Arial"/>
        </w:rPr>
      </w:pPr>
    </w:p>
    <w:p w14:paraId="3F631117" w14:textId="77777777" w:rsidR="009545C3" w:rsidRPr="00386FBE" w:rsidRDefault="009545C3" w:rsidP="009545C3">
      <w:pPr>
        <w:pStyle w:val="ListParagraph"/>
        <w:numPr>
          <w:ilvl w:val="0"/>
          <w:numId w:val="3"/>
        </w:numPr>
        <w:jc w:val="both"/>
        <w:rPr>
          <w:rFonts w:cs="Arial"/>
          <w:i/>
        </w:rPr>
      </w:pPr>
      <w:r w:rsidRPr="00E54A70">
        <w:rPr>
          <w:rFonts w:cs="Arial"/>
        </w:rPr>
        <w:t>This Inception Report provides initial findings by t</w:t>
      </w:r>
      <w:r>
        <w:rPr>
          <w:rFonts w:cs="Arial"/>
        </w:rPr>
        <w:t>he Public Debt Management Expert during December 2017</w:t>
      </w:r>
      <w:r w:rsidRPr="00E54A70">
        <w:rPr>
          <w:rFonts w:cs="Arial"/>
        </w:rPr>
        <w:t xml:space="preserve"> </w:t>
      </w:r>
      <w:r>
        <w:rPr>
          <w:rFonts w:cs="Arial"/>
        </w:rPr>
        <w:t xml:space="preserve">mission </w:t>
      </w:r>
      <w:r w:rsidRPr="00E54A70">
        <w:rPr>
          <w:rFonts w:cs="Arial"/>
        </w:rPr>
        <w:t xml:space="preserve">and </w:t>
      </w:r>
      <w:r>
        <w:rPr>
          <w:rFonts w:cs="Arial"/>
        </w:rPr>
        <w:t xml:space="preserve">the </w:t>
      </w:r>
      <w:r w:rsidRPr="00E54A70">
        <w:rPr>
          <w:rFonts w:cs="Arial"/>
        </w:rPr>
        <w:t>approach to the TA.</w:t>
      </w:r>
    </w:p>
    <w:p w14:paraId="56937BD1" w14:textId="77777777" w:rsidR="009545C3" w:rsidRPr="00386FBE" w:rsidRDefault="009545C3" w:rsidP="009545C3">
      <w:pPr>
        <w:pStyle w:val="ListParagraph"/>
        <w:ind w:left="360"/>
        <w:jc w:val="both"/>
        <w:rPr>
          <w:rFonts w:cs="Arial"/>
          <w:i/>
        </w:rPr>
      </w:pPr>
    </w:p>
    <w:p w14:paraId="7301E04F" w14:textId="77777777" w:rsidR="009545C3" w:rsidRPr="008B21BA" w:rsidRDefault="009545C3" w:rsidP="00466D0E">
      <w:pPr>
        <w:pStyle w:val="Topic1"/>
        <w:rPr>
          <w:color w:val="343434"/>
        </w:rPr>
      </w:pPr>
      <w:bookmarkStart w:id="5" w:name="_Toc506537580"/>
      <w:r w:rsidRPr="008B21BA">
        <w:t>INITIAL FINDINGS</w:t>
      </w:r>
      <w:bookmarkEnd w:id="5"/>
    </w:p>
    <w:p w14:paraId="2A07194E" w14:textId="77777777" w:rsidR="009545C3" w:rsidRPr="008B21BA" w:rsidRDefault="009545C3" w:rsidP="009545C3">
      <w:pPr>
        <w:ind w:left="360"/>
        <w:rPr>
          <w:rFonts w:cs="Arial"/>
          <w:b/>
          <w:color w:val="343434"/>
        </w:rPr>
      </w:pPr>
    </w:p>
    <w:p w14:paraId="6D62A0AC" w14:textId="77777777" w:rsidR="009545C3" w:rsidRDefault="009545C3" w:rsidP="00466D0E">
      <w:pPr>
        <w:pStyle w:val="Topic2"/>
        <w:numPr>
          <w:ilvl w:val="0"/>
          <w:numId w:val="42"/>
        </w:numPr>
        <w:ind w:left="360"/>
      </w:pPr>
      <w:bookmarkStart w:id="6" w:name="_Toc506537581"/>
      <w:r>
        <w:t xml:space="preserve">Debt </w:t>
      </w:r>
      <w:r w:rsidRPr="00466D0E">
        <w:t>Management</w:t>
      </w:r>
      <w:r>
        <w:t xml:space="preserve"> Strategy and Risk Management</w:t>
      </w:r>
      <w:bookmarkEnd w:id="6"/>
    </w:p>
    <w:p w14:paraId="7BBAD06E" w14:textId="77777777" w:rsidR="009545C3" w:rsidRDefault="009545C3" w:rsidP="009545C3">
      <w:pPr>
        <w:rPr>
          <w:rFonts w:cs="Arial"/>
          <w:b/>
          <w:color w:val="000000" w:themeColor="text1"/>
        </w:rPr>
      </w:pPr>
    </w:p>
    <w:p w14:paraId="48DB062B" w14:textId="77777777" w:rsidR="009545C3" w:rsidRDefault="009545C3" w:rsidP="00466D0E">
      <w:pPr>
        <w:pStyle w:val="Topic3"/>
      </w:pPr>
      <w:bookmarkStart w:id="7" w:name="_Toc506537582"/>
      <w:r>
        <w:t>Risk Exposure</w:t>
      </w:r>
      <w:bookmarkEnd w:id="7"/>
    </w:p>
    <w:p w14:paraId="1588835B" w14:textId="77777777" w:rsidR="009545C3" w:rsidRPr="00087C83" w:rsidRDefault="009545C3" w:rsidP="009545C3">
      <w:pPr>
        <w:rPr>
          <w:rFonts w:cs="Arial"/>
          <w:b/>
          <w:color w:val="000000" w:themeColor="text1"/>
        </w:rPr>
      </w:pPr>
    </w:p>
    <w:p w14:paraId="3123E478" w14:textId="19EB0E61" w:rsidR="009545C3" w:rsidRPr="00012FFC" w:rsidRDefault="009545C3" w:rsidP="009545C3">
      <w:pPr>
        <w:pStyle w:val="ListParagraph"/>
        <w:numPr>
          <w:ilvl w:val="0"/>
          <w:numId w:val="3"/>
        </w:numPr>
        <w:jc w:val="both"/>
        <w:rPr>
          <w:rFonts w:cs="Arial"/>
        </w:rPr>
      </w:pPr>
      <w:r w:rsidRPr="00012FFC">
        <w:rPr>
          <w:rFonts w:cs="Arial"/>
        </w:rPr>
        <w:t xml:space="preserve">The government debt portfolio </w:t>
      </w:r>
      <w:proofErr w:type="gramStart"/>
      <w:r w:rsidRPr="00012FFC">
        <w:rPr>
          <w:rFonts w:cs="Arial"/>
        </w:rPr>
        <w:t>is exposed</w:t>
      </w:r>
      <w:proofErr w:type="gramEnd"/>
      <w:r w:rsidRPr="00012FFC">
        <w:rPr>
          <w:rFonts w:cs="Arial"/>
        </w:rPr>
        <w:t xml:space="preserve"> to significant currency risks with </w:t>
      </w:r>
      <w:r w:rsidR="00613491">
        <w:rPr>
          <w:rFonts w:cs="Arial"/>
        </w:rPr>
        <w:t>81.6</w:t>
      </w:r>
      <w:r w:rsidRPr="00012FFC">
        <w:rPr>
          <w:rFonts w:cs="Arial"/>
        </w:rPr>
        <w:t xml:space="preserve"> percent of debt denominated in foreign currency</w:t>
      </w:r>
      <w:r>
        <w:rPr>
          <w:rFonts w:cs="Arial"/>
        </w:rPr>
        <w:t xml:space="preserve"> (Table 3)</w:t>
      </w:r>
      <w:r w:rsidRPr="00012FFC">
        <w:rPr>
          <w:rFonts w:eastAsia="Times New Roman" w:cs="Arial"/>
        </w:rPr>
        <w:t xml:space="preserve">. With rising domestic borrowings, the share of foreign currency debt declined marginally in recent years. The high share of foreign currency </w:t>
      </w:r>
      <w:proofErr w:type="gramStart"/>
      <w:r w:rsidRPr="00012FFC">
        <w:rPr>
          <w:rFonts w:eastAsia="Times New Roman" w:cs="Arial"/>
        </w:rPr>
        <w:t xml:space="preserve">debt </w:t>
      </w:r>
      <w:r>
        <w:rPr>
          <w:rFonts w:eastAsia="Times New Roman" w:cs="Arial"/>
        </w:rPr>
        <w:t xml:space="preserve">which is </w:t>
      </w:r>
      <w:r w:rsidRPr="00012FFC">
        <w:rPr>
          <w:rFonts w:cs="Arial"/>
          <w:lang w:val="en-GB"/>
        </w:rPr>
        <w:t>growing source of vulnerability</w:t>
      </w:r>
      <w:proofErr w:type="gramEnd"/>
      <w:r w:rsidRPr="00012FFC">
        <w:rPr>
          <w:rFonts w:eastAsia="Times New Roman" w:cs="Arial"/>
        </w:rPr>
        <w:t xml:space="preserve"> reflects the elevated degree of dollarization of the economy which also inhibits development of the domestic capital markets.</w:t>
      </w:r>
      <w:r w:rsidRPr="00012FFC">
        <w:rPr>
          <w:rFonts w:cs="Arial"/>
          <w:lang w:val="en-GB"/>
        </w:rPr>
        <w:t xml:space="preserve"> Despite high share of concessional debt within the foreign currency debt, recent history of significant currency depreciation resulted in increased debt burden</w:t>
      </w:r>
      <w:r>
        <w:rPr>
          <w:rStyle w:val="FootnoteReference"/>
          <w:rFonts w:cs="Arial"/>
          <w:lang w:val="en-GB"/>
        </w:rPr>
        <w:footnoteReference w:id="8"/>
      </w:r>
      <w:r w:rsidRPr="00012FFC">
        <w:rPr>
          <w:rFonts w:cs="Arial"/>
          <w:lang w:val="en-GB"/>
        </w:rPr>
        <w:t xml:space="preserve">. </w:t>
      </w:r>
      <w:r w:rsidR="00186932" w:rsidRPr="00012FFC">
        <w:rPr>
          <w:rFonts w:cs="Arial"/>
          <w:lang w:val="en-GB"/>
        </w:rPr>
        <w:t xml:space="preserve">Consequently, the Armenian sovereign Eurobonds </w:t>
      </w:r>
      <w:proofErr w:type="gramStart"/>
      <w:r w:rsidR="00186932" w:rsidRPr="00012FFC">
        <w:rPr>
          <w:rFonts w:cs="Arial"/>
          <w:lang w:val="en-GB"/>
        </w:rPr>
        <w:t>are rated</w:t>
      </w:r>
      <w:proofErr w:type="gramEnd"/>
      <w:r w:rsidR="00186932" w:rsidRPr="00012FFC">
        <w:rPr>
          <w:rFonts w:cs="Arial"/>
          <w:lang w:val="en-GB"/>
        </w:rPr>
        <w:t xml:space="preserve"> as "highly speculative," revealing the international bond market's concerns regarding fiscal policy and risks</w:t>
      </w:r>
      <w:r w:rsidR="00186932" w:rsidRPr="00012FFC">
        <w:rPr>
          <w:rStyle w:val="FootnoteReference"/>
          <w:rFonts w:cs="Arial"/>
          <w:lang w:val="en-GB"/>
        </w:rPr>
        <w:footnoteReference w:id="9"/>
      </w:r>
      <w:r w:rsidR="00186932" w:rsidRPr="00012FFC">
        <w:rPr>
          <w:rFonts w:cs="Arial"/>
          <w:lang w:val="en-GB"/>
        </w:rPr>
        <w:t>.</w:t>
      </w:r>
      <w:r w:rsidR="00186932">
        <w:rPr>
          <w:rFonts w:cs="Arial"/>
          <w:lang w:val="en-GB"/>
        </w:rPr>
        <w:t xml:space="preserve"> In contrast to concessional external loans, i</w:t>
      </w:r>
      <w:r w:rsidR="00186932" w:rsidRPr="00012FFC">
        <w:rPr>
          <w:rFonts w:cs="Arial"/>
          <w:lang w:val="en-GB"/>
        </w:rPr>
        <w:t xml:space="preserve">ncreasing </w:t>
      </w:r>
      <w:r w:rsidRPr="00012FFC">
        <w:rPr>
          <w:rFonts w:cs="Arial"/>
          <w:lang w:val="en-GB"/>
        </w:rPr>
        <w:t>reliance on domestic and non-concessional financing progressively puts upwards pressure on interest payments</w:t>
      </w:r>
      <w:r w:rsidR="002F0CE4">
        <w:rPr>
          <w:rFonts w:cs="Arial"/>
          <w:lang w:val="en-GB"/>
        </w:rPr>
        <w:t xml:space="preserve">, </w:t>
      </w:r>
      <w:r w:rsidR="00186932">
        <w:rPr>
          <w:rFonts w:cs="Arial"/>
          <w:lang w:val="en-GB"/>
        </w:rPr>
        <w:t>reduces the average maturity of the debt portfolio</w:t>
      </w:r>
      <w:r w:rsidR="002F0CE4">
        <w:rPr>
          <w:rFonts w:cs="Arial"/>
          <w:lang w:val="en-GB"/>
        </w:rPr>
        <w:t xml:space="preserve"> and makes the redemption profile less smooth</w:t>
      </w:r>
      <w:r w:rsidRPr="00012FFC">
        <w:rPr>
          <w:rFonts w:cs="Arial"/>
          <w:lang w:val="en-GB"/>
        </w:rPr>
        <w:t xml:space="preserve">. </w:t>
      </w:r>
    </w:p>
    <w:p w14:paraId="4900A217" w14:textId="77777777" w:rsidR="009545C3" w:rsidRDefault="009545C3" w:rsidP="009545C3">
      <w:pPr>
        <w:pStyle w:val="ListParagraph"/>
        <w:ind w:left="360"/>
        <w:jc w:val="both"/>
        <w:rPr>
          <w:rFonts w:cs="Arial"/>
        </w:rPr>
      </w:pPr>
    </w:p>
    <w:p w14:paraId="385725AC" w14:textId="77777777" w:rsidR="009545C3" w:rsidRPr="00B148B3" w:rsidRDefault="009545C3" w:rsidP="009545C3">
      <w:pPr>
        <w:pStyle w:val="NoSpacing"/>
        <w:rPr>
          <w:rFonts w:ascii="Arial" w:hAnsi="Arial" w:cs="Arial"/>
        </w:rPr>
      </w:pPr>
      <w:r w:rsidRPr="00B148B3">
        <w:rPr>
          <w:rFonts w:ascii="Arial" w:eastAsia="Times New Roman" w:hAnsi="Arial" w:cs="Arial"/>
        </w:rPr>
        <w:t>Table 3: Risk Metrics and Benchmarks on Government Debt Portfolio as on end-2017</w:t>
      </w:r>
    </w:p>
    <w:tbl>
      <w:tblPr>
        <w:tblStyle w:val="TableGrid"/>
        <w:tblW w:w="0" w:type="auto"/>
        <w:tblInd w:w="720" w:type="dxa"/>
        <w:tblLook w:val="04A0" w:firstRow="1" w:lastRow="0" w:firstColumn="1" w:lastColumn="0" w:noHBand="0" w:noVBand="1"/>
      </w:tblPr>
      <w:tblGrid>
        <w:gridCol w:w="3103"/>
        <w:gridCol w:w="2668"/>
        <w:gridCol w:w="1017"/>
        <w:gridCol w:w="1559"/>
      </w:tblGrid>
      <w:tr w:rsidR="009545C3" w14:paraId="36B9AD3F" w14:textId="77777777" w:rsidTr="00F528C6">
        <w:tc>
          <w:tcPr>
            <w:tcW w:w="3103" w:type="dxa"/>
            <w:tcBorders>
              <w:top w:val="single" w:sz="4" w:space="0" w:color="auto"/>
              <w:left w:val="single" w:sz="4" w:space="0" w:color="auto"/>
              <w:bottom w:val="single" w:sz="4" w:space="0" w:color="auto"/>
              <w:right w:val="single" w:sz="4" w:space="0" w:color="auto"/>
            </w:tcBorders>
          </w:tcPr>
          <w:p w14:paraId="024CFEBF" w14:textId="77777777" w:rsidR="009545C3" w:rsidRDefault="009545C3" w:rsidP="00F528C6">
            <w:pPr>
              <w:pStyle w:val="ListParagraph"/>
              <w:ind w:left="0"/>
              <w:rPr>
                <w:rFonts w:cs="Arial"/>
                <w:b/>
                <w:color w:val="000000" w:themeColor="text1"/>
              </w:rPr>
            </w:pPr>
            <w:r>
              <w:rPr>
                <w:rFonts w:cs="Arial"/>
                <w:b/>
                <w:color w:val="000000" w:themeColor="text1"/>
              </w:rPr>
              <w:t>Risk Metrics</w:t>
            </w:r>
          </w:p>
        </w:tc>
        <w:tc>
          <w:tcPr>
            <w:tcW w:w="2668" w:type="dxa"/>
            <w:tcBorders>
              <w:top w:val="single" w:sz="4" w:space="0" w:color="auto"/>
              <w:left w:val="single" w:sz="4" w:space="0" w:color="auto"/>
              <w:bottom w:val="single" w:sz="4" w:space="0" w:color="auto"/>
              <w:right w:val="single" w:sz="4" w:space="0" w:color="auto"/>
            </w:tcBorders>
          </w:tcPr>
          <w:p w14:paraId="5ED58EE5" w14:textId="77777777" w:rsidR="009545C3" w:rsidRDefault="009545C3" w:rsidP="00F528C6">
            <w:pPr>
              <w:pStyle w:val="ListParagraph"/>
              <w:ind w:left="0"/>
              <w:rPr>
                <w:rFonts w:cs="Arial"/>
                <w:b/>
                <w:color w:val="000000" w:themeColor="text1"/>
              </w:rPr>
            </w:pPr>
            <w:r>
              <w:rPr>
                <w:rFonts w:cs="Arial"/>
                <w:b/>
                <w:color w:val="000000" w:themeColor="text1"/>
              </w:rPr>
              <w:t>Units</w:t>
            </w:r>
          </w:p>
        </w:tc>
        <w:tc>
          <w:tcPr>
            <w:tcW w:w="1017" w:type="dxa"/>
            <w:tcBorders>
              <w:top w:val="single" w:sz="4" w:space="0" w:color="auto"/>
              <w:left w:val="single" w:sz="4" w:space="0" w:color="auto"/>
              <w:bottom w:val="single" w:sz="4" w:space="0" w:color="auto"/>
              <w:right w:val="single" w:sz="4" w:space="0" w:color="auto"/>
            </w:tcBorders>
          </w:tcPr>
          <w:p w14:paraId="41D7D929" w14:textId="77777777" w:rsidR="009545C3" w:rsidRDefault="009545C3" w:rsidP="00F528C6">
            <w:pPr>
              <w:pStyle w:val="ListParagraph"/>
              <w:ind w:left="0"/>
              <w:rPr>
                <w:rFonts w:cs="Arial"/>
                <w:b/>
                <w:color w:val="000000" w:themeColor="text1"/>
              </w:rPr>
            </w:pPr>
            <w:r>
              <w:rPr>
                <w:rFonts w:cs="Arial"/>
                <w:b/>
                <w:color w:val="000000" w:themeColor="text1"/>
              </w:rPr>
              <w:t xml:space="preserve">Value </w:t>
            </w:r>
          </w:p>
        </w:tc>
        <w:tc>
          <w:tcPr>
            <w:tcW w:w="1559" w:type="dxa"/>
            <w:tcBorders>
              <w:top w:val="single" w:sz="4" w:space="0" w:color="auto"/>
              <w:left w:val="single" w:sz="4" w:space="0" w:color="auto"/>
              <w:bottom w:val="single" w:sz="4" w:space="0" w:color="auto"/>
              <w:right w:val="single" w:sz="4" w:space="0" w:color="auto"/>
            </w:tcBorders>
          </w:tcPr>
          <w:p w14:paraId="10B2CEF1" w14:textId="6060D934" w:rsidR="009545C3" w:rsidRDefault="002F0CE4" w:rsidP="00F528C6">
            <w:pPr>
              <w:pStyle w:val="ListParagraph"/>
              <w:ind w:left="0"/>
              <w:rPr>
                <w:rFonts w:cs="Arial"/>
                <w:b/>
                <w:color w:val="000000" w:themeColor="text1"/>
              </w:rPr>
            </w:pPr>
            <w:r>
              <w:rPr>
                <w:rFonts w:cs="Arial"/>
                <w:b/>
                <w:color w:val="000000" w:themeColor="text1"/>
              </w:rPr>
              <w:t xml:space="preserve">MTDS </w:t>
            </w:r>
            <w:r w:rsidR="009545C3">
              <w:rPr>
                <w:rFonts w:cs="Arial"/>
                <w:b/>
                <w:color w:val="000000" w:themeColor="text1"/>
              </w:rPr>
              <w:t>Benchmark</w:t>
            </w:r>
          </w:p>
        </w:tc>
      </w:tr>
      <w:tr w:rsidR="009545C3" w14:paraId="5FF6314B" w14:textId="77777777" w:rsidTr="00F528C6">
        <w:tc>
          <w:tcPr>
            <w:tcW w:w="8347" w:type="dxa"/>
            <w:gridSpan w:val="4"/>
            <w:tcBorders>
              <w:top w:val="single" w:sz="4" w:space="0" w:color="auto"/>
              <w:left w:val="single" w:sz="4" w:space="0" w:color="auto"/>
              <w:bottom w:val="nil"/>
              <w:right w:val="single" w:sz="4" w:space="0" w:color="auto"/>
            </w:tcBorders>
          </w:tcPr>
          <w:p w14:paraId="0C381E7C" w14:textId="77777777" w:rsidR="009545C3" w:rsidRPr="00AA54F0" w:rsidRDefault="009545C3" w:rsidP="00F528C6">
            <w:pPr>
              <w:pStyle w:val="ListParagraph"/>
              <w:ind w:left="0"/>
              <w:rPr>
                <w:rFonts w:cs="Arial"/>
                <w:color w:val="000000" w:themeColor="text1"/>
                <w:u w:val="single"/>
              </w:rPr>
            </w:pPr>
            <w:r w:rsidRPr="00AA54F0">
              <w:rPr>
                <w:rFonts w:cs="Arial"/>
                <w:color w:val="000000" w:themeColor="text1"/>
                <w:u w:val="single"/>
              </w:rPr>
              <w:t>By Residency:</w:t>
            </w:r>
          </w:p>
        </w:tc>
      </w:tr>
      <w:tr w:rsidR="009545C3" w14:paraId="1DBD92E6" w14:textId="77777777" w:rsidTr="00F528C6">
        <w:tc>
          <w:tcPr>
            <w:tcW w:w="3103" w:type="dxa"/>
            <w:tcBorders>
              <w:top w:val="nil"/>
              <w:left w:val="single" w:sz="4" w:space="0" w:color="auto"/>
              <w:bottom w:val="nil"/>
              <w:right w:val="single" w:sz="4" w:space="0" w:color="auto"/>
            </w:tcBorders>
            <w:shd w:val="clear" w:color="auto" w:fill="BFBFBF" w:themeFill="background1" w:themeFillShade="BF"/>
          </w:tcPr>
          <w:p w14:paraId="02CDF792" w14:textId="77777777" w:rsidR="009545C3" w:rsidRPr="003915C2" w:rsidRDefault="009545C3" w:rsidP="00F528C6">
            <w:pPr>
              <w:pStyle w:val="ListParagraph"/>
              <w:ind w:left="0"/>
              <w:rPr>
                <w:rFonts w:cs="Arial"/>
                <w:color w:val="000000" w:themeColor="text1"/>
              </w:rPr>
            </w:pPr>
            <w:r w:rsidRPr="003915C2">
              <w:rPr>
                <w:rFonts w:cs="Arial"/>
                <w:color w:val="000000" w:themeColor="text1"/>
              </w:rPr>
              <w:t>Domestic</w:t>
            </w:r>
          </w:p>
        </w:tc>
        <w:tc>
          <w:tcPr>
            <w:tcW w:w="2668" w:type="dxa"/>
            <w:tcBorders>
              <w:top w:val="nil"/>
              <w:left w:val="single" w:sz="4" w:space="0" w:color="auto"/>
              <w:bottom w:val="nil"/>
              <w:right w:val="single" w:sz="4" w:space="0" w:color="auto"/>
            </w:tcBorders>
            <w:shd w:val="clear" w:color="auto" w:fill="BFBFBF" w:themeFill="background1" w:themeFillShade="BF"/>
          </w:tcPr>
          <w:p w14:paraId="329F500A"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nil"/>
              <w:right w:val="single" w:sz="4" w:space="0" w:color="auto"/>
            </w:tcBorders>
            <w:shd w:val="clear" w:color="auto" w:fill="BFBFBF" w:themeFill="background1" w:themeFillShade="BF"/>
          </w:tcPr>
          <w:p w14:paraId="24CE6BB9" w14:textId="77777777" w:rsidR="009545C3" w:rsidRPr="003915C2" w:rsidRDefault="009545C3" w:rsidP="00F528C6">
            <w:pPr>
              <w:pStyle w:val="ListParagraph"/>
              <w:ind w:left="0"/>
              <w:rPr>
                <w:rFonts w:cs="Arial"/>
                <w:color w:val="000000" w:themeColor="text1"/>
              </w:rPr>
            </w:pPr>
            <w:r>
              <w:rPr>
                <w:rFonts w:cs="Arial"/>
                <w:color w:val="000000" w:themeColor="text1"/>
              </w:rPr>
              <w:t>20.7</w:t>
            </w:r>
          </w:p>
        </w:tc>
        <w:tc>
          <w:tcPr>
            <w:tcW w:w="1559" w:type="dxa"/>
            <w:tcBorders>
              <w:top w:val="nil"/>
              <w:left w:val="single" w:sz="4" w:space="0" w:color="auto"/>
              <w:bottom w:val="nil"/>
              <w:right w:val="single" w:sz="4" w:space="0" w:color="auto"/>
            </w:tcBorders>
            <w:shd w:val="clear" w:color="auto" w:fill="BFBFBF" w:themeFill="background1" w:themeFillShade="BF"/>
          </w:tcPr>
          <w:p w14:paraId="1E076BC1" w14:textId="77777777" w:rsidR="009545C3" w:rsidRDefault="009545C3" w:rsidP="00F528C6">
            <w:pPr>
              <w:pStyle w:val="ListParagraph"/>
              <w:ind w:left="0"/>
              <w:rPr>
                <w:rFonts w:cs="Arial"/>
                <w:color w:val="000000" w:themeColor="text1"/>
              </w:rPr>
            </w:pPr>
            <w:r>
              <w:rPr>
                <w:rFonts w:cs="Arial"/>
                <w:color w:val="000000" w:themeColor="text1"/>
              </w:rPr>
              <w:t>Min 20%</w:t>
            </w:r>
          </w:p>
        </w:tc>
      </w:tr>
      <w:tr w:rsidR="009545C3" w14:paraId="14A3DE72" w14:textId="77777777" w:rsidTr="00F528C6">
        <w:tc>
          <w:tcPr>
            <w:tcW w:w="3103" w:type="dxa"/>
            <w:tcBorders>
              <w:top w:val="nil"/>
              <w:left w:val="single" w:sz="4" w:space="0" w:color="auto"/>
              <w:bottom w:val="single" w:sz="4" w:space="0" w:color="auto"/>
              <w:right w:val="single" w:sz="4" w:space="0" w:color="auto"/>
            </w:tcBorders>
          </w:tcPr>
          <w:p w14:paraId="0CB9357C" w14:textId="77777777" w:rsidR="009545C3" w:rsidRPr="003915C2" w:rsidRDefault="009545C3" w:rsidP="00F528C6">
            <w:pPr>
              <w:pStyle w:val="ListParagraph"/>
              <w:ind w:left="0"/>
              <w:rPr>
                <w:rFonts w:cs="Arial"/>
                <w:color w:val="000000" w:themeColor="text1"/>
              </w:rPr>
            </w:pPr>
            <w:r w:rsidRPr="003915C2">
              <w:rPr>
                <w:rFonts w:cs="Arial"/>
                <w:color w:val="000000" w:themeColor="text1"/>
              </w:rPr>
              <w:t>External</w:t>
            </w:r>
          </w:p>
        </w:tc>
        <w:tc>
          <w:tcPr>
            <w:tcW w:w="2668" w:type="dxa"/>
            <w:tcBorders>
              <w:top w:val="nil"/>
              <w:left w:val="single" w:sz="4" w:space="0" w:color="auto"/>
              <w:bottom w:val="single" w:sz="4" w:space="0" w:color="auto"/>
              <w:right w:val="single" w:sz="4" w:space="0" w:color="auto"/>
            </w:tcBorders>
          </w:tcPr>
          <w:p w14:paraId="384584CE"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single" w:sz="4" w:space="0" w:color="auto"/>
              <w:right w:val="single" w:sz="4" w:space="0" w:color="auto"/>
            </w:tcBorders>
          </w:tcPr>
          <w:p w14:paraId="5E04937F" w14:textId="77777777" w:rsidR="009545C3" w:rsidRPr="003915C2" w:rsidRDefault="009545C3" w:rsidP="00F528C6">
            <w:pPr>
              <w:pStyle w:val="ListParagraph"/>
              <w:ind w:left="0"/>
              <w:rPr>
                <w:rFonts w:cs="Arial"/>
                <w:color w:val="000000" w:themeColor="text1"/>
              </w:rPr>
            </w:pPr>
            <w:r>
              <w:rPr>
                <w:rFonts w:cs="Arial"/>
                <w:color w:val="000000" w:themeColor="text1"/>
              </w:rPr>
              <w:t>79.3</w:t>
            </w:r>
          </w:p>
        </w:tc>
        <w:tc>
          <w:tcPr>
            <w:tcW w:w="1559" w:type="dxa"/>
            <w:tcBorders>
              <w:top w:val="nil"/>
              <w:left w:val="single" w:sz="4" w:space="0" w:color="auto"/>
              <w:bottom w:val="single" w:sz="4" w:space="0" w:color="auto"/>
              <w:right w:val="single" w:sz="4" w:space="0" w:color="auto"/>
            </w:tcBorders>
          </w:tcPr>
          <w:p w14:paraId="709B65F8" w14:textId="77777777" w:rsidR="009545C3" w:rsidRDefault="009545C3" w:rsidP="00F528C6">
            <w:pPr>
              <w:pStyle w:val="ListParagraph"/>
              <w:ind w:left="0"/>
              <w:rPr>
                <w:rFonts w:cs="Arial"/>
                <w:color w:val="000000" w:themeColor="text1"/>
              </w:rPr>
            </w:pPr>
          </w:p>
        </w:tc>
      </w:tr>
      <w:tr w:rsidR="009545C3" w14:paraId="34A716D3" w14:textId="77777777" w:rsidTr="00F528C6">
        <w:tc>
          <w:tcPr>
            <w:tcW w:w="8347" w:type="dxa"/>
            <w:gridSpan w:val="4"/>
            <w:tcBorders>
              <w:top w:val="single" w:sz="4" w:space="0" w:color="auto"/>
              <w:left w:val="single" w:sz="4" w:space="0" w:color="auto"/>
              <w:bottom w:val="nil"/>
              <w:right w:val="single" w:sz="4" w:space="0" w:color="auto"/>
            </w:tcBorders>
          </w:tcPr>
          <w:p w14:paraId="6D997EEC" w14:textId="77777777" w:rsidR="009545C3" w:rsidRPr="003915C2" w:rsidRDefault="009545C3" w:rsidP="00F528C6">
            <w:pPr>
              <w:pStyle w:val="ListParagraph"/>
              <w:ind w:left="0"/>
              <w:rPr>
                <w:rFonts w:cs="Arial"/>
                <w:color w:val="000000" w:themeColor="text1"/>
              </w:rPr>
            </w:pPr>
            <w:r w:rsidRPr="003915C2">
              <w:rPr>
                <w:rFonts w:cs="Arial"/>
                <w:color w:val="000000" w:themeColor="text1"/>
              </w:rPr>
              <w:t>By Currency:</w:t>
            </w:r>
          </w:p>
        </w:tc>
      </w:tr>
      <w:tr w:rsidR="009545C3" w14:paraId="39B4BD91" w14:textId="77777777" w:rsidTr="00F528C6">
        <w:tc>
          <w:tcPr>
            <w:tcW w:w="3103" w:type="dxa"/>
            <w:tcBorders>
              <w:top w:val="nil"/>
              <w:left w:val="single" w:sz="4" w:space="0" w:color="auto"/>
              <w:bottom w:val="nil"/>
              <w:right w:val="single" w:sz="4" w:space="0" w:color="auto"/>
            </w:tcBorders>
          </w:tcPr>
          <w:p w14:paraId="0923767F" w14:textId="77777777" w:rsidR="009545C3" w:rsidRPr="003915C2" w:rsidRDefault="009545C3" w:rsidP="00F528C6">
            <w:pPr>
              <w:pStyle w:val="ListParagraph"/>
              <w:ind w:left="0"/>
              <w:rPr>
                <w:rFonts w:cs="Arial"/>
                <w:color w:val="000000" w:themeColor="text1"/>
              </w:rPr>
            </w:pPr>
            <w:r w:rsidRPr="003915C2">
              <w:rPr>
                <w:rFonts w:cs="Arial"/>
                <w:color w:val="000000" w:themeColor="text1"/>
              </w:rPr>
              <w:t>AMD</w:t>
            </w:r>
          </w:p>
        </w:tc>
        <w:tc>
          <w:tcPr>
            <w:tcW w:w="2668" w:type="dxa"/>
            <w:tcBorders>
              <w:top w:val="nil"/>
              <w:left w:val="single" w:sz="4" w:space="0" w:color="auto"/>
              <w:bottom w:val="nil"/>
              <w:right w:val="single" w:sz="4" w:space="0" w:color="auto"/>
            </w:tcBorders>
          </w:tcPr>
          <w:p w14:paraId="30859172"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nil"/>
              <w:right w:val="single" w:sz="4" w:space="0" w:color="auto"/>
            </w:tcBorders>
          </w:tcPr>
          <w:p w14:paraId="0F299BCF" w14:textId="77777777" w:rsidR="009545C3" w:rsidRPr="003915C2" w:rsidRDefault="009545C3" w:rsidP="00F528C6">
            <w:pPr>
              <w:pStyle w:val="ListParagraph"/>
              <w:ind w:left="0"/>
              <w:rPr>
                <w:rFonts w:cs="Arial"/>
                <w:color w:val="000000" w:themeColor="text1"/>
              </w:rPr>
            </w:pPr>
            <w:r>
              <w:rPr>
                <w:rFonts w:cs="Arial"/>
                <w:color w:val="000000" w:themeColor="text1"/>
              </w:rPr>
              <w:t>18.4</w:t>
            </w:r>
          </w:p>
        </w:tc>
        <w:tc>
          <w:tcPr>
            <w:tcW w:w="1559" w:type="dxa"/>
            <w:tcBorders>
              <w:top w:val="nil"/>
              <w:left w:val="single" w:sz="4" w:space="0" w:color="auto"/>
              <w:bottom w:val="nil"/>
              <w:right w:val="single" w:sz="4" w:space="0" w:color="auto"/>
            </w:tcBorders>
          </w:tcPr>
          <w:p w14:paraId="4A4AFC10" w14:textId="77777777" w:rsidR="009545C3" w:rsidRDefault="009545C3" w:rsidP="00F528C6">
            <w:pPr>
              <w:pStyle w:val="ListParagraph"/>
              <w:ind w:left="0"/>
              <w:rPr>
                <w:rFonts w:cs="Arial"/>
                <w:color w:val="000000" w:themeColor="text1"/>
              </w:rPr>
            </w:pPr>
          </w:p>
        </w:tc>
      </w:tr>
      <w:tr w:rsidR="009545C3" w14:paraId="36B40046" w14:textId="77777777" w:rsidTr="00F528C6">
        <w:tc>
          <w:tcPr>
            <w:tcW w:w="3103" w:type="dxa"/>
            <w:tcBorders>
              <w:top w:val="nil"/>
              <w:left w:val="single" w:sz="4" w:space="0" w:color="auto"/>
              <w:bottom w:val="single" w:sz="4" w:space="0" w:color="auto"/>
              <w:right w:val="single" w:sz="4" w:space="0" w:color="auto"/>
            </w:tcBorders>
          </w:tcPr>
          <w:p w14:paraId="65D92FA7" w14:textId="77777777" w:rsidR="009545C3" w:rsidRPr="003915C2" w:rsidRDefault="009545C3" w:rsidP="00F528C6">
            <w:pPr>
              <w:pStyle w:val="ListParagraph"/>
              <w:ind w:left="0"/>
              <w:rPr>
                <w:rFonts w:cs="Arial"/>
                <w:color w:val="000000" w:themeColor="text1"/>
              </w:rPr>
            </w:pPr>
            <w:r w:rsidRPr="003915C2">
              <w:rPr>
                <w:rFonts w:cs="Arial"/>
                <w:color w:val="000000" w:themeColor="text1"/>
              </w:rPr>
              <w:t>Foreign Currency</w:t>
            </w:r>
          </w:p>
        </w:tc>
        <w:tc>
          <w:tcPr>
            <w:tcW w:w="2668" w:type="dxa"/>
            <w:tcBorders>
              <w:top w:val="nil"/>
              <w:left w:val="single" w:sz="4" w:space="0" w:color="auto"/>
              <w:bottom w:val="single" w:sz="4" w:space="0" w:color="auto"/>
              <w:right w:val="single" w:sz="4" w:space="0" w:color="auto"/>
            </w:tcBorders>
          </w:tcPr>
          <w:p w14:paraId="5805FA8D"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single" w:sz="4" w:space="0" w:color="auto"/>
              <w:right w:val="single" w:sz="4" w:space="0" w:color="auto"/>
            </w:tcBorders>
          </w:tcPr>
          <w:p w14:paraId="7869C7BD" w14:textId="77777777" w:rsidR="009545C3" w:rsidRPr="003915C2" w:rsidRDefault="009545C3" w:rsidP="00F528C6">
            <w:pPr>
              <w:pStyle w:val="ListParagraph"/>
              <w:ind w:left="0"/>
              <w:rPr>
                <w:rFonts w:cs="Arial"/>
                <w:color w:val="000000" w:themeColor="text1"/>
              </w:rPr>
            </w:pPr>
            <w:r>
              <w:rPr>
                <w:rFonts w:cs="Arial"/>
                <w:color w:val="000000" w:themeColor="text1"/>
              </w:rPr>
              <w:t>81.6</w:t>
            </w:r>
          </w:p>
        </w:tc>
        <w:tc>
          <w:tcPr>
            <w:tcW w:w="1559" w:type="dxa"/>
            <w:tcBorders>
              <w:top w:val="nil"/>
              <w:left w:val="single" w:sz="4" w:space="0" w:color="auto"/>
              <w:bottom w:val="single" w:sz="4" w:space="0" w:color="auto"/>
              <w:right w:val="single" w:sz="4" w:space="0" w:color="auto"/>
            </w:tcBorders>
          </w:tcPr>
          <w:p w14:paraId="0D2099AB" w14:textId="77777777" w:rsidR="009545C3" w:rsidRDefault="009545C3" w:rsidP="00F528C6">
            <w:pPr>
              <w:pStyle w:val="ListParagraph"/>
              <w:ind w:left="0"/>
              <w:rPr>
                <w:rFonts w:cs="Arial"/>
                <w:color w:val="000000" w:themeColor="text1"/>
              </w:rPr>
            </w:pPr>
          </w:p>
        </w:tc>
      </w:tr>
      <w:tr w:rsidR="009545C3" w14:paraId="41E0D774" w14:textId="77777777" w:rsidTr="00F528C6">
        <w:tc>
          <w:tcPr>
            <w:tcW w:w="8347" w:type="dxa"/>
            <w:gridSpan w:val="4"/>
            <w:tcBorders>
              <w:top w:val="single" w:sz="4" w:space="0" w:color="auto"/>
              <w:left w:val="single" w:sz="4" w:space="0" w:color="auto"/>
              <w:bottom w:val="nil"/>
              <w:right w:val="single" w:sz="4" w:space="0" w:color="auto"/>
            </w:tcBorders>
          </w:tcPr>
          <w:p w14:paraId="327B5E63" w14:textId="77777777" w:rsidR="009545C3" w:rsidRPr="003915C2" w:rsidRDefault="009545C3" w:rsidP="00F528C6">
            <w:pPr>
              <w:pStyle w:val="ListParagraph"/>
              <w:ind w:left="0"/>
              <w:rPr>
                <w:rFonts w:cs="Arial"/>
                <w:color w:val="000000" w:themeColor="text1"/>
              </w:rPr>
            </w:pPr>
            <w:r>
              <w:rPr>
                <w:rFonts w:cs="Arial"/>
                <w:color w:val="000000" w:themeColor="text1"/>
              </w:rPr>
              <w:t>By Maturity:</w:t>
            </w:r>
          </w:p>
        </w:tc>
      </w:tr>
      <w:tr w:rsidR="009545C3" w14:paraId="5052ECBB" w14:textId="77777777" w:rsidTr="00F528C6">
        <w:tc>
          <w:tcPr>
            <w:tcW w:w="3103" w:type="dxa"/>
            <w:tcBorders>
              <w:top w:val="nil"/>
              <w:left w:val="single" w:sz="4" w:space="0" w:color="auto"/>
              <w:bottom w:val="nil"/>
              <w:right w:val="single" w:sz="4" w:space="0" w:color="auto"/>
            </w:tcBorders>
            <w:shd w:val="clear" w:color="auto" w:fill="BFBFBF" w:themeFill="background1" w:themeFillShade="BF"/>
          </w:tcPr>
          <w:p w14:paraId="69B64EA9" w14:textId="77777777" w:rsidR="009545C3" w:rsidRPr="003915C2" w:rsidRDefault="009545C3" w:rsidP="00F528C6">
            <w:pPr>
              <w:pStyle w:val="ListParagraph"/>
              <w:ind w:left="0"/>
              <w:rPr>
                <w:rFonts w:cs="Arial"/>
                <w:color w:val="000000" w:themeColor="text1"/>
              </w:rPr>
            </w:pPr>
            <w:r>
              <w:rPr>
                <w:rFonts w:cs="Arial"/>
                <w:color w:val="000000" w:themeColor="text1"/>
              </w:rPr>
              <w:t>Average Time to Maturity</w:t>
            </w:r>
          </w:p>
        </w:tc>
        <w:tc>
          <w:tcPr>
            <w:tcW w:w="2668" w:type="dxa"/>
            <w:tcBorders>
              <w:top w:val="nil"/>
              <w:left w:val="single" w:sz="4" w:space="0" w:color="auto"/>
              <w:bottom w:val="nil"/>
              <w:right w:val="single" w:sz="4" w:space="0" w:color="auto"/>
            </w:tcBorders>
            <w:shd w:val="clear" w:color="auto" w:fill="BFBFBF" w:themeFill="background1" w:themeFillShade="BF"/>
          </w:tcPr>
          <w:p w14:paraId="11F49B37" w14:textId="77777777" w:rsidR="009545C3" w:rsidRPr="003915C2" w:rsidRDefault="009545C3" w:rsidP="00F528C6">
            <w:pPr>
              <w:pStyle w:val="ListParagraph"/>
              <w:ind w:left="0"/>
              <w:rPr>
                <w:rFonts w:cs="Arial"/>
                <w:color w:val="000000" w:themeColor="text1"/>
              </w:rPr>
            </w:pPr>
            <w:r>
              <w:rPr>
                <w:rFonts w:cs="Arial"/>
                <w:color w:val="000000" w:themeColor="text1"/>
              </w:rPr>
              <w:t>Years</w:t>
            </w:r>
          </w:p>
        </w:tc>
        <w:tc>
          <w:tcPr>
            <w:tcW w:w="1017" w:type="dxa"/>
            <w:tcBorders>
              <w:top w:val="nil"/>
              <w:left w:val="single" w:sz="4" w:space="0" w:color="auto"/>
              <w:bottom w:val="nil"/>
              <w:right w:val="single" w:sz="4" w:space="0" w:color="auto"/>
            </w:tcBorders>
            <w:shd w:val="clear" w:color="auto" w:fill="BFBFBF" w:themeFill="background1" w:themeFillShade="BF"/>
          </w:tcPr>
          <w:p w14:paraId="6FF33D15" w14:textId="77777777" w:rsidR="009545C3" w:rsidRPr="003915C2" w:rsidRDefault="009545C3" w:rsidP="00F528C6">
            <w:pPr>
              <w:pStyle w:val="ListParagraph"/>
              <w:ind w:left="0"/>
              <w:rPr>
                <w:rFonts w:cs="Arial"/>
                <w:color w:val="000000" w:themeColor="text1"/>
              </w:rPr>
            </w:pPr>
            <w:r>
              <w:rPr>
                <w:rFonts w:cs="Arial"/>
                <w:color w:val="000000" w:themeColor="text1"/>
              </w:rPr>
              <w:t>9.0</w:t>
            </w:r>
          </w:p>
        </w:tc>
        <w:tc>
          <w:tcPr>
            <w:tcW w:w="1559" w:type="dxa"/>
            <w:tcBorders>
              <w:top w:val="nil"/>
              <w:left w:val="single" w:sz="4" w:space="0" w:color="auto"/>
              <w:bottom w:val="nil"/>
              <w:right w:val="single" w:sz="4" w:space="0" w:color="auto"/>
            </w:tcBorders>
            <w:shd w:val="clear" w:color="auto" w:fill="BFBFBF" w:themeFill="background1" w:themeFillShade="BF"/>
          </w:tcPr>
          <w:p w14:paraId="617B3FFE" w14:textId="77777777" w:rsidR="009545C3" w:rsidRDefault="009545C3" w:rsidP="00F528C6">
            <w:pPr>
              <w:pStyle w:val="ListParagraph"/>
              <w:ind w:left="0"/>
              <w:rPr>
                <w:rFonts w:cs="Arial"/>
                <w:color w:val="000000" w:themeColor="text1"/>
              </w:rPr>
            </w:pPr>
            <w:r>
              <w:rPr>
                <w:rFonts w:cs="Arial"/>
                <w:color w:val="000000" w:themeColor="text1"/>
              </w:rPr>
              <w:t>8-11</w:t>
            </w:r>
          </w:p>
        </w:tc>
      </w:tr>
      <w:tr w:rsidR="009545C3" w14:paraId="27ED6F72" w14:textId="77777777" w:rsidTr="00F528C6">
        <w:tc>
          <w:tcPr>
            <w:tcW w:w="3103" w:type="dxa"/>
            <w:tcBorders>
              <w:top w:val="nil"/>
              <w:left w:val="single" w:sz="4" w:space="0" w:color="auto"/>
              <w:bottom w:val="nil"/>
              <w:right w:val="single" w:sz="4" w:space="0" w:color="auto"/>
            </w:tcBorders>
          </w:tcPr>
          <w:p w14:paraId="1850ACA2" w14:textId="77777777" w:rsidR="009545C3" w:rsidRPr="003915C2" w:rsidRDefault="009545C3" w:rsidP="00F528C6">
            <w:pPr>
              <w:pStyle w:val="ListParagraph"/>
              <w:ind w:left="0"/>
              <w:rPr>
                <w:rFonts w:cs="Arial"/>
                <w:color w:val="000000" w:themeColor="text1"/>
              </w:rPr>
            </w:pPr>
            <w:r>
              <w:rPr>
                <w:rFonts w:cs="Arial"/>
                <w:color w:val="000000" w:themeColor="text1"/>
              </w:rPr>
              <w:t>% of debt maturing in 1 year</w:t>
            </w:r>
          </w:p>
        </w:tc>
        <w:tc>
          <w:tcPr>
            <w:tcW w:w="2668" w:type="dxa"/>
            <w:tcBorders>
              <w:top w:val="nil"/>
              <w:left w:val="single" w:sz="4" w:space="0" w:color="auto"/>
              <w:bottom w:val="nil"/>
              <w:right w:val="single" w:sz="4" w:space="0" w:color="auto"/>
            </w:tcBorders>
          </w:tcPr>
          <w:p w14:paraId="69FB8F80"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nil"/>
              <w:right w:val="single" w:sz="4" w:space="0" w:color="auto"/>
            </w:tcBorders>
          </w:tcPr>
          <w:p w14:paraId="72BD1ABB" w14:textId="77777777" w:rsidR="009545C3" w:rsidRPr="003915C2" w:rsidRDefault="009545C3" w:rsidP="00F528C6">
            <w:pPr>
              <w:pStyle w:val="ListParagraph"/>
              <w:ind w:left="0"/>
              <w:rPr>
                <w:rFonts w:cs="Arial"/>
                <w:color w:val="000000" w:themeColor="text1"/>
              </w:rPr>
            </w:pPr>
            <w:r>
              <w:rPr>
                <w:rFonts w:cs="Arial"/>
                <w:color w:val="000000" w:themeColor="text1"/>
              </w:rPr>
              <w:t>5.3</w:t>
            </w:r>
          </w:p>
        </w:tc>
        <w:tc>
          <w:tcPr>
            <w:tcW w:w="1559" w:type="dxa"/>
            <w:tcBorders>
              <w:top w:val="nil"/>
              <w:left w:val="single" w:sz="4" w:space="0" w:color="auto"/>
              <w:bottom w:val="nil"/>
              <w:right w:val="single" w:sz="4" w:space="0" w:color="auto"/>
            </w:tcBorders>
          </w:tcPr>
          <w:p w14:paraId="5BB77417" w14:textId="77777777" w:rsidR="009545C3" w:rsidRDefault="009545C3" w:rsidP="00F528C6">
            <w:pPr>
              <w:pStyle w:val="ListParagraph"/>
              <w:ind w:left="0"/>
              <w:rPr>
                <w:rFonts w:cs="Arial"/>
                <w:color w:val="000000" w:themeColor="text1"/>
              </w:rPr>
            </w:pPr>
          </w:p>
        </w:tc>
      </w:tr>
      <w:tr w:rsidR="009545C3" w14:paraId="528EEE3A" w14:textId="77777777" w:rsidTr="00F528C6">
        <w:tc>
          <w:tcPr>
            <w:tcW w:w="3103" w:type="dxa"/>
            <w:tcBorders>
              <w:top w:val="nil"/>
              <w:left w:val="single" w:sz="4" w:space="0" w:color="auto"/>
              <w:bottom w:val="single" w:sz="4" w:space="0" w:color="auto"/>
              <w:right w:val="single" w:sz="4" w:space="0" w:color="auto"/>
            </w:tcBorders>
            <w:shd w:val="clear" w:color="auto" w:fill="BFBFBF" w:themeFill="background1" w:themeFillShade="BF"/>
          </w:tcPr>
          <w:p w14:paraId="5AD94121" w14:textId="77777777" w:rsidR="009545C3" w:rsidRDefault="009545C3" w:rsidP="00F528C6">
            <w:pPr>
              <w:pStyle w:val="ListParagraph"/>
              <w:ind w:left="0"/>
              <w:rPr>
                <w:rFonts w:cs="Arial"/>
                <w:color w:val="000000" w:themeColor="text1"/>
              </w:rPr>
            </w:pPr>
            <w:r>
              <w:rPr>
                <w:rFonts w:cs="Arial"/>
                <w:color w:val="000000" w:themeColor="text1"/>
              </w:rPr>
              <w:t>% of debt maturing in 1 year for Govt. Securities</w:t>
            </w:r>
          </w:p>
        </w:tc>
        <w:tc>
          <w:tcPr>
            <w:tcW w:w="2668" w:type="dxa"/>
            <w:tcBorders>
              <w:top w:val="nil"/>
              <w:left w:val="single" w:sz="4" w:space="0" w:color="auto"/>
              <w:bottom w:val="single" w:sz="4" w:space="0" w:color="auto"/>
              <w:right w:val="single" w:sz="4" w:space="0" w:color="auto"/>
            </w:tcBorders>
            <w:shd w:val="clear" w:color="auto" w:fill="BFBFBF" w:themeFill="background1" w:themeFillShade="BF"/>
          </w:tcPr>
          <w:p w14:paraId="5BA46B39" w14:textId="77777777" w:rsidR="009545C3" w:rsidRPr="003915C2" w:rsidRDefault="009545C3" w:rsidP="00F528C6">
            <w:pPr>
              <w:pStyle w:val="ListParagraph"/>
              <w:ind w:left="0"/>
              <w:rPr>
                <w:rFonts w:cs="Arial"/>
                <w:color w:val="000000" w:themeColor="text1"/>
              </w:rPr>
            </w:pPr>
            <w:r>
              <w:rPr>
                <w:rFonts w:cs="Arial"/>
                <w:color w:val="000000" w:themeColor="text1"/>
              </w:rPr>
              <w:t>% of outstanding Govt. Securities</w:t>
            </w:r>
          </w:p>
        </w:tc>
        <w:tc>
          <w:tcPr>
            <w:tcW w:w="1017" w:type="dxa"/>
            <w:tcBorders>
              <w:top w:val="nil"/>
              <w:left w:val="single" w:sz="4" w:space="0" w:color="auto"/>
              <w:bottom w:val="single" w:sz="4" w:space="0" w:color="auto"/>
              <w:right w:val="single" w:sz="4" w:space="0" w:color="auto"/>
            </w:tcBorders>
            <w:shd w:val="clear" w:color="auto" w:fill="BFBFBF" w:themeFill="background1" w:themeFillShade="BF"/>
          </w:tcPr>
          <w:p w14:paraId="4DB25A8C" w14:textId="77777777" w:rsidR="009545C3" w:rsidRPr="003915C2" w:rsidRDefault="009545C3" w:rsidP="00F528C6">
            <w:pPr>
              <w:pStyle w:val="ListParagraph"/>
              <w:ind w:left="0"/>
              <w:rPr>
                <w:rFonts w:cs="Arial"/>
                <w:color w:val="000000" w:themeColor="text1"/>
              </w:rPr>
            </w:pPr>
            <w:r>
              <w:rPr>
                <w:rFonts w:cs="Arial"/>
                <w:color w:val="000000" w:themeColor="text1"/>
              </w:rPr>
              <w:t>16.4</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14:paraId="4E489BD4" w14:textId="77777777" w:rsidR="009545C3" w:rsidRPr="003915C2" w:rsidRDefault="009545C3" w:rsidP="00F528C6">
            <w:pPr>
              <w:pStyle w:val="ListParagraph"/>
              <w:ind w:left="0"/>
              <w:rPr>
                <w:rFonts w:cs="Arial"/>
                <w:color w:val="000000" w:themeColor="text1"/>
              </w:rPr>
            </w:pPr>
            <w:r>
              <w:rPr>
                <w:rFonts w:cs="Arial"/>
                <w:color w:val="000000" w:themeColor="text1"/>
              </w:rPr>
              <w:t>Max 20%</w:t>
            </w:r>
          </w:p>
        </w:tc>
      </w:tr>
      <w:tr w:rsidR="009545C3" w14:paraId="126D0E48" w14:textId="77777777" w:rsidTr="00F528C6">
        <w:tc>
          <w:tcPr>
            <w:tcW w:w="8347" w:type="dxa"/>
            <w:gridSpan w:val="4"/>
            <w:tcBorders>
              <w:top w:val="single" w:sz="4" w:space="0" w:color="auto"/>
              <w:left w:val="single" w:sz="4" w:space="0" w:color="auto"/>
              <w:bottom w:val="nil"/>
              <w:right w:val="single" w:sz="4" w:space="0" w:color="auto"/>
            </w:tcBorders>
          </w:tcPr>
          <w:p w14:paraId="50561B95" w14:textId="77777777" w:rsidR="009545C3" w:rsidRPr="003915C2" w:rsidRDefault="009545C3" w:rsidP="00F528C6">
            <w:pPr>
              <w:pStyle w:val="ListParagraph"/>
              <w:ind w:left="0"/>
              <w:rPr>
                <w:rFonts w:cs="Arial"/>
                <w:color w:val="000000" w:themeColor="text1"/>
              </w:rPr>
            </w:pPr>
            <w:r>
              <w:rPr>
                <w:rFonts w:cs="Arial"/>
                <w:color w:val="000000" w:themeColor="text1"/>
              </w:rPr>
              <w:t>By Interest Rate:</w:t>
            </w:r>
          </w:p>
        </w:tc>
      </w:tr>
      <w:tr w:rsidR="009545C3" w14:paraId="32DEA623" w14:textId="77777777" w:rsidTr="00F528C6">
        <w:tc>
          <w:tcPr>
            <w:tcW w:w="3103" w:type="dxa"/>
            <w:tcBorders>
              <w:top w:val="nil"/>
              <w:left w:val="single" w:sz="4" w:space="0" w:color="auto"/>
              <w:bottom w:val="nil"/>
              <w:right w:val="single" w:sz="4" w:space="0" w:color="auto"/>
            </w:tcBorders>
            <w:shd w:val="clear" w:color="auto" w:fill="BFBFBF" w:themeFill="background1" w:themeFillShade="BF"/>
          </w:tcPr>
          <w:p w14:paraId="7CC989E3" w14:textId="77777777" w:rsidR="009545C3" w:rsidRPr="003915C2" w:rsidRDefault="009545C3" w:rsidP="00F528C6">
            <w:pPr>
              <w:pStyle w:val="ListParagraph"/>
              <w:ind w:left="0"/>
              <w:rPr>
                <w:rFonts w:cs="Arial"/>
                <w:color w:val="000000" w:themeColor="text1"/>
              </w:rPr>
            </w:pPr>
            <w:r>
              <w:rPr>
                <w:rFonts w:cs="Arial"/>
                <w:color w:val="000000" w:themeColor="text1"/>
              </w:rPr>
              <w:t>Share of Fixed Rate Debt</w:t>
            </w:r>
          </w:p>
        </w:tc>
        <w:tc>
          <w:tcPr>
            <w:tcW w:w="2668" w:type="dxa"/>
            <w:tcBorders>
              <w:top w:val="nil"/>
              <w:left w:val="single" w:sz="4" w:space="0" w:color="auto"/>
              <w:bottom w:val="nil"/>
              <w:right w:val="single" w:sz="4" w:space="0" w:color="auto"/>
            </w:tcBorders>
            <w:shd w:val="clear" w:color="auto" w:fill="BFBFBF" w:themeFill="background1" w:themeFillShade="BF"/>
          </w:tcPr>
          <w:p w14:paraId="5ABBD056"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nil"/>
              <w:right w:val="single" w:sz="4" w:space="0" w:color="auto"/>
            </w:tcBorders>
            <w:shd w:val="clear" w:color="auto" w:fill="BFBFBF" w:themeFill="background1" w:themeFillShade="BF"/>
          </w:tcPr>
          <w:p w14:paraId="72344B48" w14:textId="77777777" w:rsidR="009545C3" w:rsidRPr="003915C2" w:rsidRDefault="009545C3" w:rsidP="00F528C6">
            <w:pPr>
              <w:pStyle w:val="ListParagraph"/>
              <w:ind w:left="0"/>
              <w:rPr>
                <w:rFonts w:cs="Arial"/>
                <w:color w:val="000000" w:themeColor="text1"/>
              </w:rPr>
            </w:pPr>
            <w:r>
              <w:rPr>
                <w:rFonts w:cs="Arial"/>
                <w:color w:val="000000" w:themeColor="text1"/>
              </w:rPr>
              <w:t>86.5</w:t>
            </w:r>
          </w:p>
        </w:tc>
        <w:tc>
          <w:tcPr>
            <w:tcW w:w="1559" w:type="dxa"/>
            <w:tcBorders>
              <w:top w:val="nil"/>
              <w:left w:val="single" w:sz="4" w:space="0" w:color="auto"/>
              <w:bottom w:val="nil"/>
              <w:right w:val="single" w:sz="4" w:space="0" w:color="auto"/>
            </w:tcBorders>
            <w:shd w:val="clear" w:color="auto" w:fill="BFBFBF" w:themeFill="background1" w:themeFillShade="BF"/>
          </w:tcPr>
          <w:p w14:paraId="5B38F367" w14:textId="77777777" w:rsidR="009545C3" w:rsidRDefault="009545C3" w:rsidP="00F528C6">
            <w:pPr>
              <w:pStyle w:val="ListParagraph"/>
              <w:ind w:left="0"/>
              <w:rPr>
                <w:rFonts w:cs="Arial"/>
                <w:color w:val="000000" w:themeColor="text1"/>
              </w:rPr>
            </w:pPr>
            <w:r>
              <w:rPr>
                <w:rFonts w:cs="Arial"/>
                <w:color w:val="000000" w:themeColor="text1"/>
              </w:rPr>
              <w:t>Min 80%</w:t>
            </w:r>
          </w:p>
        </w:tc>
      </w:tr>
      <w:tr w:rsidR="009545C3" w14:paraId="4AD84ADD" w14:textId="77777777" w:rsidTr="00F528C6">
        <w:tc>
          <w:tcPr>
            <w:tcW w:w="3103" w:type="dxa"/>
            <w:tcBorders>
              <w:top w:val="nil"/>
              <w:left w:val="single" w:sz="4" w:space="0" w:color="auto"/>
              <w:bottom w:val="nil"/>
              <w:right w:val="single" w:sz="4" w:space="0" w:color="auto"/>
            </w:tcBorders>
          </w:tcPr>
          <w:p w14:paraId="22985FE3" w14:textId="77777777" w:rsidR="009545C3" w:rsidRPr="003915C2" w:rsidRDefault="009545C3" w:rsidP="00F528C6">
            <w:pPr>
              <w:pStyle w:val="ListParagraph"/>
              <w:ind w:left="0"/>
              <w:rPr>
                <w:rFonts w:cs="Arial"/>
                <w:color w:val="000000" w:themeColor="text1"/>
              </w:rPr>
            </w:pPr>
            <w:r>
              <w:rPr>
                <w:rFonts w:cs="Arial"/>
                <w:color w:val="000000" w:themeColor="text1"/>
              </w:rPr>
              <w:t>Share of Floating Rate Debt</w:t>
            </w:r>
          </w:p>
        </w:tc>
        <w:tc>
          <w:tcPr>
            <w:tcW w:w="2668" w:type="dxa"/>
            <w:tcBorders>
              <w:top w:val="nil"/>
              <w:left w:val="single" w:sz="4" w:space="0" w:color="auto"/>
              <w:bottom w:val="nil"/>
              <w:right w:val="single" w:sz="4" w:space="0" w:color="auto"/>
            </w:tcBorders>
          </w:tcPr>
          <w:p w14:paraId="4AA352C4" w14:textId="77777777" w:rsidR="009545C3" w:rsidRPr="003915C2" w:rsidRDefault="009545C3" w:rsidP="00F528C6">
            <w:pPr>
              <w:pStyle w:val="ListParagraph"/>
              <w:ind w:left="0"/>
              <w:rPr>
                <w:rFonts w:cs="Arial"/>
                <w:color w:val="000000" w:themeColor="text1"/>
              </w:rPr>
            </w:pPr>
            <w:r>
              <w:rPr>
                <w:rFonts w:cs="Arial"/>
                <w:color w:val="000000" w:themeColor="text1"/>
              </w:rPr>
              <w:t>% of total debt</w:t>
            </w:r>
          </w:p>
        </w:tc>
        <w:tc>
          <w:tcPr>
            <w:tcW w:w="1017" w:type="dxa"/>
            <w:tcBorders>
              <w:top w:val="nil"/>
              <w:left w:val="single" w:sz="4" w:space="0" w:color="auto"/>
              <w:bottom w:val="nil"/>
              <w:right w:val="single" w:sz="4" w:space="0" w:color="auto"/>
            </w:tcBorders>
          </w:tcPr>
          <w:p w14:paraId="76AB1818" w14:textId="77777777" w:rsidR="009545C3" w:rsidRPr="003915C2" w:rsidRDefault="009545C3" w:rsidP="00F528C6">
            <w:pPr>
              <w:pStyle w:val="ListParagraph"/>
              <w:ind w:left="0"/>
              <w:rPr>
                <w:rFonts w:cs="Arial"/>
                <w:color w:val="000000" w:themeColor="text1"/>
              </w:rPr>
            </w:pPr>
            <w:r>
              <w:rPr>
                <w:rFonts w:cs="Arial"/>
                <w:color w:val="000000" w:themeColor="text1"/>
              </w:rPr>
              <w:t>13.5</w:t>
            </w:r>
          </w:p>
        </w:tc>
        <w:tc>
          <w:tcPr>
            <w:tcW w:w="1559" w:type="dxa"/>
            <w:tcBorders>
              <w:top w:val="nil"/>
              <w:left w:val="single" w:sz="4" w:space="0" w:color="auto"/>
              <w:bottom w:val="nil"/>
              <w:right w:val="single" w:sz="4" w:space="0" w:color="auto"/>
            </w:tcBorders>
          </w:tcPr>
          <w:p w14:paraId="1CC84A54" w14:textId="77777777" w:rsidR="009545C3" w:rsidRDefault="009545C3" w:rsidP="00F528C6">
            <w:pPr>
              <w:pStyle w:val="ListParagraph"/>
              <w:ind w:left="0"/>
              <w:rPr>
                <w:rFonts w:cs="Arial"/>
                <w:color w:val="000000" w:themeColor="text1"/>
              </w:rPr>
            </w:pPr>
          </w:p>
        </w:tc>
      </w:tr>
      <w:tr w:rsidR="009545C3" w14:paraId="5102E49B" w14:textId="77777777" w:rsidTr="00F528C6">
        <w:tc>
          <w:tcPr>
            <w:tcW w:w="3103" w:type="dxa"/>
            <w:tcBorders>
              <w:top w:val="nil"/>
              <w:left w:val="single" w:sz="4" w:space="0" w:color="auto"/>
              <w:bottom w:val="single" w:sz="4" w:space="0" w:color="auto"/>
              <w:right w:val="single" w:sz="4" w:space="0" w:color="auto"/>
            </w:tcBorders>
          </w:tcPr>
          <w:p w14:paraId="66BCCBA9" w14:textId="77777777" w:rsidR="009545C3" w:rsidRDefault="009545C3" w:rsidP="00F528C6">
            <w:pPr>
              <w:pStyle w:val="ListParagraph"/>
              <w:ind w:left="0"/>
              <w:rPr>
                <w:rFonts w:cs="Arial"/>
                <w:color w:val="000000" w:themeColor="text1"/>
              </w:rPr>
            </w:pPr>
            <w:r>
              <w:rPr>
                <w:rFonts w:cs="Arial"/>
                <w:color w:val="000000" w:themeColor="text1"/>
              </w:rPr>
              <w:lastRenderedPageBreak/>
              <w:t>Average Time to Refixing</w:t>
            </w:r>
          </w:p>
        </w:tc>
        <w:tc>
          <w:tcPr>
            <w:tcW w:w="2668" w:type="dxa"/>
            <w:tcBorders>
              <w:top w:val="nil"/>
              <w:left w:val="single" w:sz="4" w:space="0" w:color="auto"/>
              <w:bottom w:val="single" w:sz="4" w:space="0" w:color="auto"/>
              <w:right w:val="single" w:sz="4" w:space="0" w:color="auto"/>
            </w:tcBorders>
          </w:tcPr>
          <w:p w14:paraId="73DE0841" w14:textId="77777777" w:rsidR="009545C3" w:rsidRDefault="009545C3" w:rsidP="00F528C6">
            <w:pPr>
              <w:pStyle w:val="ListParagraph"/>
              <w:ind w:left="0"/>
              <w:rPr>
                <w:rFonts w:cs="Arial"/>
                <w:color w:val="000000" w:themeColor="text1"/>
              </w:rPr>
            </w:pPr>
            <w:r>
              <w:rPr>
                <w:rFonts w:cs="Arial"/>
                <w:color w:val="000000" w:themeColor="text1"/>
              </w:rPr>
              <w:t>Years</w:t>
            </w:r>
          </w:p>
        </w:tc>
        <w:tc>
          <w:tcPr>
            <w:tcW w:w="1017" w:type="dxa"/>
            <w:tcBorders>
              <w:top w:val="nil"/>
              <w:left w:val="single" w:sz="4" w:space="0" w:color="auto"/>
              <w:bottom w:val="single" w:sz="4" w:space="0" w:color="auto"/>
              <w:right w:val="single" w:sz="4" w:space="0" w:color="auto"/>
            </w:tcBorders>
          </w:tcPr>
          <w:p w14:paraId="27EF9B1A" w14:textId="1B0FCDEA" w:rsidR="009545C3" w:rsidRDefault="00613491" w:rsidP="00F528C6">
            <w:pPr>
              <w:pStyle w:val="ListParagraph"/>
              <w:ind w:left="0"/>
              <w:rPr>
                <w:rFonts w:cs="Arial"/>
                <w:color w:val="000000" w:themeColor="text1"/>
              </w:rPr>
            </w:pPr>
            <w:r>
              <w:rPr>
                <w:rFonts w:cs="Arial"/>
                <w:color w:val="000000" w:themeColor="text1"/>
              </w:rPr>
              <w:t>7.5</w:t>
            </w:r>
          </w:p>
        </w:tc>
        <w:tc>
          <w:tcPr>
            <w:tcW w:w="1559" w:type="dxa"/>
            <w:tcBorders>
              <w:top w:val="nil"/>
              <w:left w:val="single" w:sz="4" w:space="0" w:color="auto"/>
              <w:bottom w:val="single" w:sz="4" w:space="0" w:color="auto"/>
              <w:right w:val="single" w:sz="4" w:space="0" w:color="auto"/>
            </w:tcBorders>
          </w:tcPr>
          <w:p w14:paraId="2E1E0718" w14:textId="77777777" w:rsidR="009545C3" w:rsidRDefault="009545C3" w:rsidP="00F528C6">
            <w:pPr>
              <w:pStyle w:val="ListParagraph"/>
              <w:ind w:left="0"/>
              <w:rPr>
                <w:rFonts w:cs="Arial"/>
                <w:color w:val="000000" w:themeColor="text1"/>
              </w:rPr>
            </w:pPr>
          </w:p>
        </w:tc>
      </w:tr>
      <w:tr w:rsidR="009545C3" w14:paraId="0882AE8D" w14:textId="77777777" w:rsidTr="00F528C6">
        <w:tc>
          <w:tcPr>
            <w:tcW w:w="3103" w:type="dxa"/>
            <w:tcBorders>
              <w:top w:val="nil"/>
              <w:left w:val="single" w:sz="4" w:space="0" w:color="auto"/>
              <w:bottom w:val="single" w:sz="4" w:space="0" w:color="auto"/>
              <w:right w:val="single" w:sz="4" w:space="0" w:color="auto"/>
            </w:tcBorders>
          </w:tcPr>
          <w:p w14:paraId="7708F3AF" w14:textId="77777777" w:rsidR="009545C3" w:rsidRPr="003915C2" w:rsidRDefault="009545C3" w:rsidP="00F528C6">
            <w:pPr>
              <w:pStyle w:val="ListParagraph"/>
              <w:ind w:left="0"/>
              <w:rPr>
                <w:rFonts w:cs="Arial"/>
                <w:color w:val="000000" w:themeColor="text1"/>
              </w:rPr>
            </w:pPr>
            <w:r>
              <w:rPr>
                <w:rFonts w:cs="Arial"/>
                <w:color w:val="000000" w:themeColor="text1"/>
              </w:rPr>
              <w:t>Average Interest Rate</w:t>
            </w:r>
          </w:p>
        </w:tc>
        <w:tc>
          <w:tcPr>
            <w:tcW w:w="2668" w:type="dxa"/>
            <w:tcBorders>
              <w:top w:val="nil"/>
              <w:left w:val="single" w:sz="4" w:space="0" w:color="auto"/>
              <w:bottom w:val="single" w:sz="4" w:space="0" w:color="auto"/>
              <w:right w:val="single" w:sz="4" w:space="0" w:color="auto"/>
            </w:tcBorders>
          </w:tcPr>
          <w:p w14:paraId="2D797790" w14:textId="77777777" w:rsidR="009545C3" w:rsidRPr="003915C2" w:rsidRDefault="009545C3" w:rsidP="00F528C6">
            <w:pPr>
              <w:pStyle w:val="ListParagraph"/>
              <w:ind w:left="0"/>
              <w:rPr>
                <w:rFonts w:cs="Arial"/>
                <w:color w:val="000000" w:themeColor="text1"/>
              </w:rPr>
            </w:pPr>
            <w:r>
              <w:rPr>
                <w:rFonts w:cs="Arial"/>
                <w:color w:val="000000" w:themeColor="text1"/>
              </w:rPr>
              <w:t>%</w:t>
            </w:r>
          </w:p>
        </w:tc>
        <w:tc>
          <w:tcPr>
            <w:tcW w:w="1017" w:type="dxa"/>
            <w:tcBorders>
              <w:top w:val="nil"/>
              <w:left w:val="single" w:sz="4" w:space="0" w:color="auto"/>
              <w:bottom w:val="single" w:sz="4" w:space="0" w:color="auto"/>
              <w:right w:val="single" w:sz="4" w:space="0" w:color="auto"/>
            </w:tcBorders>
          </w:tcPr>
          <w:p w14:paraId="27EC93E0" w14:textId="77777777" w:rsidR="009545C3" w:rsidRPr="003915C2" w:rsidRDefault="009545C3" w:rsidP="00F528C6">
            <w:pPr>
              <w:pStyle w:val="ListParagraph"/>
              <w:ind w:left="0"/>
              <w:rPr>
                <w:rFonts w:cs="Arial"/>
                <w:color w:val="000000" w:themeColor="text1"/>
              </w:rPr>
            </w:pPr>
            <w:r>
              <w:rPr>
                <w:rFonts w:cs="Arial"/>
                <w:color w:val="000000" w:themeColor="text1"/>
              </w:rPr>
              <w:t>4.9</w:t>
            </w:r>
          </w:p>
        </w:tc>
        <w:tc>
          <w:tcPr>
            <w:tcW w:w="1559" w:type="dxa"/>
            <w:tcBorders>
              <w:top w:val="nil"/>
              <w:left w:val="single" w:sz="4" w:space="0" w:color="auto"/>
              <w:bottom w:val="single" w:sz="4" w:space="0" w:color="auto"/>
              <w:right w:val="single" w:sz="4" w:space="0" w:color="auto"/>
            </w:tcBorders>
          </w:tcPr>
          <w:p w14:paraId="39F1B392" w14:textId="77777777" w:rsidR="009545C3" w:rsidRDefault="009545C3" w:rsidP="00F528C6">
            <w:pPr>
              <w:pStyle w:val="ListParagraph"/>
              <w:ind w:left="0"/>
              <w:rPr>
                <w:rFonts w:cs="Arial"/>
                <w:color w:val="000000" w:themeColor="text1"/>
              </w:rPr>
            </w:pPr>
          </w:p>
        </w:tc>
      </w:tr>
      <w:tr w:rsidR="009545C3" w14:paraId="768A2BBD" w14:textId="77777777" w:rsidTr="00F528C6">
        <w:tc>
          <w:tcPr>
            <w:tcW w:w="8347" w:type="dxa"/>
            <w:gridSpan w:val="4"/>
            <w:tcBorders>
              <w:top w:val="single" w:sz="4" w:space="0" w:color="auto"/>
              <w:left w:val="nil"/>
              <w:bottom w:val="nil"/>
              <w:right w:val="nil"/>
            </w:tcBorders>
          </w:tcPr>
          <w:p w14:paraId="186F07C7" w14:textId="77777777" w:rsidR="009545C3" w:rsidRPr="00B148B3" w:rsidRDefault="009545C3" w:rsidP="00F528C6">
            <w:pPr>
              <w:pStyle w:val="ListParagraph"/>
              <w:ind w:left="0"/>
              <w:rPr>
                <w:rFonts w:cs="Arial"/>
                <w:color w:val="000000" w:themeColor="text1"/>
                <w:sz w:val="18"/>
                <w:szCs w:val="18"/>
              </w:rPr>
            </w:pPr>
            <w:r w:rsidRPr="00B148B3">
              <w:rPr>
                <w:rFonts w:cs="Arial"/>
                <w:color w:val="000000" w:themeColor="text1"/>
                <w:sz w:val="18"/>
                <w:szCs w:val="18"/>
              </w:rPr>
              <w:t>Source: Debt Bulletin 2017</w:t>
            </w:r>
          </w:p>
        </w:tc>
      </w:tr>
    </w:tbl>
    <w:p w14:paraId="2DBCF8AF" w14:textId="77777777" w:rsidR="009545C3" w:rsidRDefault="009545C3" w:rsidP="009545C3">
      <w:pPr>
        <w:pStyle w:val="ListParagraph"/>
        <w:ind w:left="360"/>
        <w:jc w:val="both"/>
        <w:rPr>
          <w:rFonts w:cs="Arial"/>
        </w:rPr>
      </w:pPr>
    </w:p>
    <w:p w14:paraId="459D1157" w14:textId="77777777" w:rsidR="009545C3" w:rsidRDefault="009545C3" w:rsidP="009545C3">
      <w:pPr>
        <w:pStyle w:val="ListParagraph"/>
        <w:numPr>
          <w:ilvl w:val="0"/>
          <w:numId w:val="3"/>
        </w:numPr>
        <w:jc w:val="both"/>
      </w:pPr>
      <w:r>
        <w:t xml:space="preserve">The debt portfolio is well poised with respect to interest rate and refinancing risks. The average time to maturity at 9 years mirrors the long-term structure of the debt while the share of debt maturing in one year at 5.3 percent of total debt reflects liquidity risks </w:t>
      </w:r>
      <w:proofErr w:type="gramStart"/>
      <w:r>
        <w:t>are considerably mitigated</w:t>
      </w:r>
      <w:proofErr w:type="gramEnd"/>
      <w:r>
        <w:t>. The amortization profile of outstanding debt as on end-December 2017, however, reflects a bunching of payments in 2020 mainly due to the bullet redemption of Eurobonds (US$ 500.1 m) and increased amortization of external loans by US$ 50 m between 2018 and 2020 (Figure 4). Redemption of another Eurobond of US$ 500 M in 2025 similarly creates another peak in payments</w:t>
      </w:r>
      <w:r>
        <w:rPr>
          <w:rStyle w:val="FootnoteReference"/>
        </w:rPr>
        <w:footnoteReference w:id="10"/>
      </w:r>
      <w:r>
        <w:t>. The share of fixed interest rate debt at 86.5 percent of total debt limits risk on interest payments</w:t>
      </w:r>
      <w:r>
        <w:rPr>
          <w:rStyle w:val="FootnoteReference"/>
        </w:rPr>
        <w:footnoteReference w:id="11"/>
      </w:r>
      <w:r>
        <w:t xml:space="preserve">. </w:t>
      </w:r>
    </w:p>
    <w:p w14:paraId="35AF0030" w14:textId="77777777" w:rsidR="009545C3" w:rsidRDefault="009545C3" w:rsidP="009545C3">
      <w:pPr>
        <w:pStyle w:val="ListParagraph"/>
      </w:pPr>
    </w:p>
    <w:p w14:paraId="40CADE1C" w14:textId="0376F2E8" w:rsidR="009545C3" w:rsidRDefault="005964D5" w:rsidP="009545C3">
      <w:pPr>
        <w:pStyle w:val="ListParagraph"/>
        <w:rPr>
          <w:rFonts w:cs="Arial"/>
          <w:color w:val="000000" w:themeColor="text1"/>
        </w:rPr>
      </w:pPr>
      <w:r>
        <w:rPr>
          <w:rFonts w:cs="Arial"/>
          <w:color w:val="000000" w:themeColor="text1"/>
        </w:rPr>
        <w:t>Figure 4: Amortization Profile of Government Debt as of December 31, 2017</w:t>
      </w:r>
    </w:p>
    <w:p w14:paraId="1C12B7D4" w14:textId="535DD56D" w:rsidR="005964D5" w:rsidRPr="00025387" w:rsidRDefault="005964D5" w:rsidP="009545C3">
      <w:pPr>
        <w:pStyle w:val="ListParagraph"/>
        <w:rPr>
          <w:rFonts w:cs="Arial"/>
          <w:color w:val="000000" w:themeColor="text1"/>
        </w:rPr>
      </w:pPr>
      <w:r>
        <w:rPr>
          <w:noProof/>
          <w:lang w:eastAsia="en-US"/>
        </w:rPr>
        <w:drawing>
          <wp:inline distT="0" distB="0" distL="0" distR="0" wp14:anchorId="51D19EF9" wp14:editId="096E5F98">
            <wp:extent cx="5943600" cy="2722880"/>
            <wp:effectExtent l="0" t="0" r="1905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B7A1D4" w14:textId="485B44FA" w:rsidR="009545C3" w:rsidRDefault="009545C3" w:rsidP="009545C3">
      <w:pPr>
        <w:pStyle w:val="ListParagraph"/>
        <w:rPr>
          <w:rFonts w:cs="Arial"/>
          <w:b/>
          <w:color w:val="000000" w:themeColor="text1"/>
        </w:rPr>
      </w:pPr>
    </w:p>
    <w:p w14:paraId="3CC80AB2" w14:textId="3383821E" w:rsidR="009545C3" w:rsidRPr="00025387" w:rsidRDefault="005964D5" w:rsidP="009545C3">
      <w:pPr>
        <w:pStyle w:val="ListParagraph"/>
        <w:rPr>
          <w:rFonts w:cs="Arial"/>
          <w:color w:val="000000" w:themeColor="text1"/>
          <w:sz w:val="18"/>
          <w:szCs w:val="18"/>
        </w:rPr>
      </w:pPr>
      <w:bookmarkStart w:id="8" w:name="_GoBack"/>
      <w:bookmarkEnd w:id="8"/>
      <w:r>
        <w:rPr>
          <w:rFonts w:cs="Arial"/>
          <w:color w:val="000000" w:themeColor="text1"/>
          <w:sz w:val="18"/>
          <w:szCs w:val="18"/>
        </w:rPr>
        <w:t>Source: Monthly Summary Bulletin, December 2017.</w:t>
      </w:r>
      <w:r>
        <w:rPr>
          <w:rFonts w:cs="Arial"/>
          <w:color w:val="000000" w:themeColor="text1"/>
          <w:sz w:val="18"/>
          <w:szCs w:val="18"/>
        </w:rPr>
        <w:t>m</w:t>
      </w:r>
      <w:r w:rsidR="009545C3" w:rsidRPr="00025387">
        <w:rPr>
          <w:rFonts w:cs="Arial"/>
          <w:color w:val="000000" w:themeColor="text1"/>
          <w:sz w:val="18"/>
          <w:szCs w:val="18"/>
        </w:rPr>
        <w:t xml:space="preserve"> </w:t>
      </w:r>
    </w:p>
    <w:p w14:paraId="614F2FD8" w14:textId="29CC8261" w:rsidR="009545C3" w:rsidRDefault="009545C3" w:rsidP="009545C3">
      <w:pPr>
        <w:pStyle w:val="ListParagraph"/>
      </w:pPr>
    </w:p>
    <w:p w14:paraId="25B2967C" w14:textId="77777777" w:rsidR="00161647" w:rsidRDefault="00161647" w:rsidP="009545C3">
      <w:pPr>
        <w:pStyle w:val="ListParagraph"/>
      </w:pPr>
    </w:p>
    <w:p w14:paraId="35EB61DD" w14:textId="77777777" w:rsidR="009545C3" w:rsidRPr="00087C83" w:rsidRDefault="009545C3" w:rsidP="00466D0E">
      <w:pPr>
        <w:pStyle w:val="Topic3"/>
      </w:pPr>
      <w:bookmarkStart w:id="9" w:name="_Toc506537583"/>
      <w:r w:rsidRPr="00087C83">
        <w:t>Medium-term Debt Management Strategy</w:t>
      </w:r>
      <w:bookmarkEnd w:id="9"/>
    </w:p>
    <w:p w14:paraId="22162072" w14:textId="77777777" w:rsidR="009545C3" w:rsidRDefault="009545C3" w:rsidP="009545C3">
      <w:pPr>
        <w:pStyle w:val="ListParagraph"/>
      </w:pPr>
    </w:p>
    <w:p w14:paraId="45E781FE" w14:textId="77777777" w:rsidR="009545C3" w:rsidRDefault="009545C3" w:rsidP="009545C3">
      <w:pPr>
        <w:pStyle w:val="ListParagraph"/>
        <w:numPr>
          <w:ilvl w:val="0"/>
          <w:numId w:val="3"/>
        </w:numPr>
        <w:jc w:val="both"/>
        <w:rPr>
          <w:rFonts w:cs="Arial"/>
        </w:rPr>
      </w:pPr>
      <w:r>
        <w:rPr>
          <w:rFonts w:cs="Arial"/>
        </w:rPr>
        <w:t xml:space="preserve">The Law “On State Debt” specifies that the </w:t>
      </w:r>
      <w:r w:rsidRPr="00F32F28">
        <w:rPr>
          <w:rFonts w:cs="Arial"/>
        </w:rPr>
        <w:t xml:space="preserve">main objective of the Government debt management </w:t>
      </w:r>
      <w:r>
        <w:rPr>
          <w:rFonts w:cs="Arial"/>
        </w:rPr>
        <w:t xml:space="preserve">is to </w:t>
      </w:r>
      <w:r w:rsidRPr="00F32F28">
        <w:rPr>
          <w:rFonts w:cs="Arial"/>
        </w:rPr>
        <w:t>ensur</w:t>
      </w:r>
      <w:r>
        <w:rPr>
          <w:rFonts w:cs="Arial"/>
        </w:rPr>
        <w:t>e</w:t>
      </w:r>
      <w:r w:rsidRPr="00F32F28">
        <w:rPr>
          <w:rFonts w:cs="Arial"/>
        </w:rPr>
        <w:t xml:space="preserve"> permanent capacity of meeting financial demands of the Government, t</w:t>
      </w:r>
      <w:r>
        <w:rPr>
          <w:rFonts w:cs="Arial"/>
        </w:rPr>
        <w:t>hereby</w:t>
      </w:r>
      <w:r w:rsidRPr="00F32F28">
        <w:rPr>
          <w:rFonts w:cs="Arial"/>
        </w:rPr>
        <w:t xml:space="preserve"> reducing the size of debt servicing in the long-term perspective</w:t>
      </w:r>
      <w:r w:rsidRPr="009E0E71">
        <w:rPr>
          <w:rFonts w:cs="Arial"/>
        </w:rPr>
        <w:t xml:space="preserve">. The following objectives </w:t>
      </w:r>
      <w:proofErr w:type="gramStart"/>
      <w:r w:rsidRPr="009E0E71">
        <w:rPr>
          <w:rFonts w:cs="Arial"/>
        </w:rPr>
        <w:t>are also defined</w:t>
      </w:r>
      <w:proofErr w:type="gramEnd"/>
      <w:r w:rsidRPr="009E0E71">
        <w:rPr>
          <w:rFonts w:cs="Arial"/>
        </w:rPr>
        <w:t xml:space="preserve"> in the law: optimization of the structure of the Government debt with consideration </w:t>
      </w:r>
      <w:r>
        <w:rPr>
          <w:rFonts w:cs="Arial"/>
        </w:rPr>
        <w:t xml:space="preserve">of </w:t>
      </w:r>
      <w:r w:rsidRPr="009E0E71">
        <w:rPr>
          <w:rFonts w:cs="Arial"/>
        </w:rPr>
        <w:t>potential risks</w:t>
      </w:r>
      <w:r>
        <w:rPr>
          <w:rFonts w:cs="Arial"/>
        </w:rPr>
        <w:t xml:space="preserve">; and </w:t>
      </w:r>
      <w:r w:rsidRPr="009E0E71">
        <w:rPr>
          <w:rFonts w:cs="Arial"/>
        </w:rPr>
        <w:t>coordination of public debt management and monetary policies.</w:t>
      </w:r>
    </w:p>
    <w:p w14:paraId="5D72B92D" w14:textId="77777777" w:rsidR="009545C3" w:rsidRDefault="009545C3" w:rsidP="009545C3">
      <w:pPr>
        <w:pStyle w:val="ListParagraph"/>
        <w:ind w:left="360"/>
        <w:jc w:val="both"/>
      </w:pPr>
    </w:p>
    <w:p w14:paraId="1536CD44" w14:textId="3143A73B" w:rsidR="009545C3" w:rsidRDefault="009545C3" w:rsidP="009545C3">
      <w:pPr>
        <w:pStyle w:val="ListParagraph"/>
        <w:numPr>
          <w:ilvl w:val="0"/>
          <w:numId w:val="3"/>
        </w:numPr>
        <w:jc w:val="both"/>
      </w:pPr>
      <w:r>
        <w:t xml:space="preserve">In line with the law on State Debt, the Government has adopted a Medium-term Debt Management Strategy (MTDS) since 2011 and published its strategy document annually </w:t>
      </w:r>
      <w:r>
        <w:lastRenderedPageBreak/>
        <w:t xml:space="preserve">along with the State Budget. The MTDS </w:t>
      </w:r>
      <w:proofErr w:type="gramStart"/>
      <w:r>
        <w:t>is based</w:t>
      </w:r>
      <w:proofErr w:type="gramEnd"/>
      <w:r>
        <w:t xml:space="preserve"> on a three-year horizon and </w:t>
      </w:r>
      <w:r>
        <w:rPr>
          <w:rFonts w:cs="Arial"/>
        </w:rPr>
        <w:t>t</w:t>
      </w:r>
      <w:r w:rsidRPr="006554A7">
        <w:rPr>
          <w:rFonts w:cs="Arial"/>
        </w:rPr>
        <w:t xml:space="preserve">he scope of the strategy is limited to the Government debt, including guaranties issued by the Government. </w:t>
      </w:r>
      <w:r>
        <w:t xml:space="preserve">The analytical framework of the MTDS </w:t>
      </w:r>
      <w:proofErr w:type="gramStart"/>
      <w:r>
        <w:t>is based</w:t>
      </w:r>
      <w:proofErr w:type="gramEnd"/>
      <w:r>
        <w:t xml:space="preserve"> on the MTDS framework developed by the IMF-World Bank</w:t>
      </w:r>
      <w:r>
        <w:rPr>
          <w:rStyle w:val="FootnoteReference"/>
        </w:rPr>
        <w:footnoteReference w:id="12"/>
      </w:r>
      <w:r>
        <w:t>.</w:t>
      </w:r>
      <w:r w:rsidR="00873D47" w:rsidRPr="00CD2035">
        <w:t xml:space="preserve"> While the </w:t>
      </w:r>
      <w:r w:rsidR="00CD2035" w:rsidRPr="00CD2035">
        <w:t>coverage for the formulation of the MTDS</w:t>
      </w:r>
      <w:r w:rsidR="00CD2035" w:rsidRPr="001F31A9">
        <w:t xml:space="preserve"> </w:t>
      </w:r>
      <w:r w:rsidR="00CD2035" w:rsidRPr="00A75C90">
        <w:t>by the authori</w:t>
      </w:r>
      <w:r w:rsidR="00CD2035" w:rsidRPr="00BD7130">
        <w:t xml:space="preserve">ties is </w:t>
      </w:r>
      <w:r w:rsidR="00CD2035" w:rsidRPr="00A20EF2">
        <w:t>a standard</w:t>
      </w:r>
      <w:r w:rsidR="00CD2035" w:rsidRPr="00A23892">
        <w:t xml:space="preserve"> practice</w:t>
      </w:r>
      <w:r w:rsidR="00CD2035" w:rsidRPr="00164E21">
        <w:t xml:space="preserve"> as with other countries, there is a possible scope to strengthen</w:t>
      </w:r>
      <w:r w:rsidR="00CD2035" w:rsidRPr="00467A44">
        <w:t xml:space="preserve"> the risk analysis within the MTDS analysis. </w:t>
      </w:r>
      <w:r w:rsidR="00CD2035" w:rsidRPr="009C00DC">
        <w:t>Given that the CBA borrows externally for on-lending to financial institutions, it may be useful if the MTDS framework is widened to capture any exchange rate risks and credit risks associated with such CBA liabilities as this constitutes part of public debt which is used as a target for debt limit.</w:t>
      </w:r>
      <w:r w:rsidR="00CD2035">
        <w:rPr>
          <w:sz w:val="24"/>
          <w:szCs w:val="24"/>
        </w:rPr>
        <w:t xml:space="preserve"> </w:t>
      </w:r>
      <w:r w:rsidR="00CD2035">
        <w:t xml:space="preserve"> </w:t>
      </w:r>
    </w:p>
    <w:p w14:paraId="726D5BFA" w14:textId="77777777" w:rsidR="009545C3" w:rsidRDefault="009545C3" w:rsidP="009545C3">
      <w:pPr>
        <w:pStyle w:val="ListParagraph"/>
        <w:ind w:left="360"/>
        <w:jc w:val="both"/>
      </w:pPr>
    </w:p>
    <w:p w14:paraId="686E8173" w14:textId="76E63903" w:rsidR="009545C3" w:rsidRDefault="009545C3" w:rsidP="009545C3">
      <w:pPr>
        <w:pStyle w:val="ListParagraph"/>
        <w:numPr>
          <w:ilvl w:val="0"/>
          <w:numId w:val="3"/>
        </w:numPr>
        <w:jc w:val="both"/>
      </w:pPr>
      <w:r>
        <w:t xml:space="preserve">The most recent MTDS for 2018-20 formulated at the end of 2017 aims to finance the fiscal deficit through net domestic borrowings ranging between 20-21 percent during 2018-19 which will be increased to 29.8 percent by 2020 (Table 4). </w:t>
      </w:r>
      <w:r>
        <w:rPr>
          <w:rFonts w:cs="Arial"/>
        </w:rPr>
        <w:t xml:space="preserve">The State budget for 2018, however, projects a higher share of domestic borrowings at 26.3 percent in view of the lower fiscal deficit budgeted for 2018. Given the significant deviations in planned borrowing and its composition between the MTDS and State Budget estimates, it is recommended that the formulation of the MTDS </w:t>
      </w:r>
      <w:proofErr w:type="gramStart"/>
      <w:r>
        <w:rPr>
          <w:rFonts w:cs="Arial"/>
        </w:rPr>
        <w:t>is</w:t>
      </w:r>
      <w:proofErr w:type="gramEnd"/>
      <w:r>
        <w:rPr>
          <w:rFonts w:cs="Arial"/>
        </w:rPr>
        <w:t xml:space="preserve"> synchronized with the State Budget to maintain consistency and credibility of the MTDS. </w:t>
      </w:r>
    </w:p>
    <w:p w14:paraId="72690DE3" w14:textId="77777777" w:rsidR="009545C3" w:rsidRDefault="009545C3" w:rsidP="009545C3">
      <w:pPr>
        <w:pStyle w:val="ListParagraph"/>
        <w:ind w:left="360"/>
        <w:jc w:val="both"/>
      </w:pPr>
    </w:p>
    <w:p w14:paraId="0B5A4149" w14:textId="22B568C2" w:rsidR="009545C3" w:rsidRPr="00426120" w:rsidRDefault="009545C3" w:rsidP="009545C3">
      <w:pPr>
        <w:rPr>
          <w:rFonts w:cs="Arial"/>
        </w:rPr>
      </w:pPr>
      <w:r w:rsidRPr="00426120">
        <w:rPr>
          <w:rFonts w:cs="Arial"/>
        </w:rPr>
        <w:t xml:space="preserve">Table 4: 2017-2020 </w:t>
      </w:r>
      <w:r w:rsidRPr="00426120">
        <w:rPr>
          <w:rFonts w:cs="Arial"/>
          <w:bCs/>
        </w:rPr>
        <w:t xml:space="preserve">State </w:t>
      </w:r>
      <w:r w:rsidR="00A50926">
        <w:rPr>
          <w:rFonts w:cs="Arial"/>
          <w:bCs/>
        </w:rPr>
        <w:t>B</w:t>
      </w:r>
      <w:r w:rsidRPr="00426120">
        <w:rPr>
          <w:rFonts w:cs="Arial"/>
          <w:bCs/>
        </w:rPr>
        <w:t xml:space="preserve">udget </w:t>
      </w:r>
      <w:r w:rsidR="00A50926">
        <w:rPr>
          <w:rFonts w:cs="Arial"/>
          <w:bCs/>
        </w:rPr>
        <w:t>D</w:t>
      </w:r>
      <w:r w:rsidRPr="00426120">
        <w:rPr>
          <w:rFonts w:cs="Arial"/>
          <w:bCs/>
        </w:rPr>
        <w:t xml:space="preserve">eficit </w:t>
      </w:r>
      <w:r w:rsidR="00A50926">
        <w:rPr>
          <w:rFonts w:cs="Arial"/>
          <w:bCs/>
        </w:rPr>
        <w:t>F</w:t>
      </w:r>
      <w:r w:rsidRPr="00426120">
        <w:rPr>
          <w:rFonts w:cs="Arial"/>
          <w:bCs/>
        </w:rPr>
        <w:t xml:space="preserve">inancing by </w:t>
      </w:r>
      <w:r w:rsidR="00A50926">
        <w:rPr>
          <w:rFonts w:cs="Arial"/>
          <w:bCs/>
        </w:rPr>
        <w:t>N</w:t>
      </w:r>
      <w:r w:rsidRPr="00426120">
        <w:rPr>
          <w:rFonts w:cs="Arial"/>
          <w:bCs/>
        </w:rPr>
        <w:t xml:space="preserve">et </w:t>
      </w:r>
      <w:r w:rsidR="00A50926">
        <w:rPr>
          <w:rFonts w:cs="Arial"/>
          <w:bCs/>
        </w:rPr>
        <w:t>B</w:t>
      </w:r>
      <w:r w:rsidRPr="00426120">
        <w:rPr>
          <w:rFonts w:cs="Arial"/>
          <w:bCs/>
        </w:rPr>
        <w:t xml:space="preserve">orrowings (AMD </w:t>
      </w:r>
      <w:proofErr w:type="gramStart"/>
      <w:r w:rsidRPr="00426120">
        <w:rPr>
          <w:rFonts w:cs="Arial"/>
          <w:bCs/>
        </w:rPr>
        <w:t>billion</w:t>
      </w:r>
      <w:proofErr w:type="gramEnd"/>
      <w:r w:rsidRPr="00426120">
        <w:rPr>
          <w:rFonts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1611"/>
        <w:gridCol w:w="1092"/>
        <w:gridCol w:w="1066"/>
        <w:gridCol w:w="1075"/>
      </w:tblGrid>
      <w:tr w:rsidR="009545C3" w:rsidRPr="00864DF0" w14:paraId="03EEE884" w14:textId="77777777" w:rsidTr="00F528C6">
        <w:trPr>
          <w:trHeight w:val="777"/>
          <w:jc w:val="center"/>
        </w:trPr>
        <w:tc>
          <w:tcPr>
            <w:tcW w:w="5002" w:type="dxa"/>
            <w:tcBorders>
              <w:top w:val="thinThickThinSmallGap" w:sz="24" w:space="0" w:color="auto"/>
              <w:left w:val="nil"/>
              <w:bottom w:val="thinThickSmallGap" w:sz="24" w:space="0" w:color="auto"/>
              <w:right w:val="nil"/>
            </w:tcBorders>
          </w:tcPr>
          <w:p w14:paraId="2087323D" w14:textId="77777777" w:rsidR="009545C3" w:rsidRPr="00864DF0" w:rsidRDefault="009545C3" w:rsidP="00F528C6">
            <w:pPr>
              <w:spacing w:line="360" w:lineRule="auto"/>
              <w:jc w:val="both"/>
              <w:rPr>
                <w:rFonts w:cs="Arial"/>
              </w:rPr>
            </w:pPr>
          </w:p>
        </w:tc>
        <w:tc>
          <w:tcPr>
            <w:tcW w:w="1666" w:type="dxa"/>
            <w:tcBorders>
              <w:top w:val="thinThickThinSmallGap" w:sz="24" w:space="0" w:color="auto"/>
              <w:left w:val="nil"/>
              <w:bottom w:val="thinThickSmallGap" w:sz="24" w:space="0" w:color="auto"/>
              <w:right w:val="double" w:sz="4" w:space="0" w:color="auto"/>
            </w:tcBorders>
            <w:vAlign w:val="center"/>
          </w:tcPr>
          <w:p w14:paraId="7D9F01C8" w14:textId="77777777" w:rsidR="009545C3" w:rsidRPr="00864DF0" w:rsidRDefault="009545C3" w:rsidP="00F528C6">
            <w:pPr>
              <w:jc w:val="center"/>
              <w:rPr>
                <w:rFonts w:cs="Arial"/>
              </w:rPr>
            </w:pPr>
            <w:r w:rsidRPr="00864DF0">
              <w:rPr>
                <w:rFonts w:cs="Arial"/>
              </w:rPr>
              <w:t>201</w:t>
            </w:r>
            <w:r>
              <w:rPr>
                <w:rFonts w:cs="Arial"/>
              </w:rPr>
              <w:t>8</w:t>
            </w:r>
            <w:r w:rsidRPr="00864DF0">
              <w:rPr>
                <w:rFonts w:cs="Arial"/>
              </w:rPr>
              <w:t xml:space="preserve"> budget program</w:t>
            </w:r>
          </w:p>
        </w:tc>
        <w:tc>
          <w:tcPr>
            <w:tcW w:w="1101" w:type="dxa"/>
            <w:tcBorders>
              <w:top w:val="thinThickThinSmallGap" w:sz="24" w:space="0" w:color="auto"/>
              <w:left w:val="double" w:sz="4" w:space="0" w:color="auto"/>
              <w:bottom w:val="thinThickSmallGap" w:sz="24" w:space="0" w:color="auto"/>
              <w:right w:val="nil"/>
            </w:tcBorders>
            <w:vAlign w:val="center"/>
          </w:tcPr>
          <w:p w14:paraId="58145BA0" w14:textId="77777777" w:rsidR="009545C3" w:rsidRPr="00864DF0" w:rsidRDefault="009545C3" w:rsidP="00F528C6">
            <w:pPr>
              <w:jc w:val="center"/>
              <w:rPr>
                <w:rFonts w:cs="Arial"/>
              </w:rPr>
            </w:pPr>
            <w:r w:rsidRPr="00864DF0">
              <w:rPr>
                <w:rFonts w:cs="Arial"/>
              </w:rPr>
              <w:t xml:space="preserve">2018 </w:t>
            </w:r>
            <w:r>
              <w:rPr>
                <w:rFonts w:cs="Arial"/>
              </w:rPr>
              <w:t xml:space="preserve">MTDS </w:t>
            </w:r>
            <w:r w:rsidRPr="00864DF0">
              <w:rPr>
                <w:rFonts w:cs="Arial"/>
              </w:rPr>
              <w:t>forecast</w:t>
            </w:r>
          </w:p>
        </w:tc>
        <w:tc>
          <w:tcPr>
            <w:tcW w:w="1072" w:type="dxa"/>
            <w:tcBorders>
              <w:top w:val="thinThickThinSmallGap" w:sz="24" w:space="0" w:color="auto"/>
              <w:left w:val="nil"/>
              <w:bottom w:val="thinThickSmallGap" w:sz="24" w:space="0" w:color="auto"/>
              <w:right w:val="nil"/>
            </w:tcBorders>
            <w:vAlign w:val="center"/>
          </w:tcPr>
          <w:p w14:paraId="200C00A3" w14:textId="77777777" w:rsidR="009545C3" w:rsidRPr="00864DF0" w:rsidRDefault="009545C3" w:rsidP="00F528C6">
            <w:pPr>
              <w:jc w:val="center"/>
              <w:rPr>
                <w:rFonts w:cs="Arial"/>
              </w:rPr>
            </w:pPr>
            <w:r w:rsidRPr="00864DF0">
              <w:rPr>
                <w:rFonts w:cs="Arial"/>
              </w:rPr>
              <w:t xml:space="preserve">2019 </w:t>
            </w:r>
            <w:r>
              <w:rPr>
                <w:rFonts w:cs="Arial"/>
              </w:rPr>
              <w:t xml:space="preserve">MTDS </w:t>
            </w:r>
            <w:r w:rsidRPr="00864DF0">
              <w:rPr>
                <w:rFonts w:cs="Arial"/>
              </w:rPr>
              <w:t>forecast</w:t>
            </w:r>
          </w:p>
        </w:tc>
        <w:tc>
          <w:tcPr>
            <w:tcW w:w="1082" w:type="dxa"/>
            <w:tcBorders>
              <w:top w:val="thinThickThinSmallGap" w:sz="24" w:space="0" w:color="auto"/>
              <w:left w:val="nil"/>
              <w:bottom w:val="thinThickSmallGap" w:sz="24" w:space="0" w:color="auto"/>
              <w:right w:val="nil"/>
            </w:tcBorders>
            <w:vAlign w:val="center"/>
          </w:tcPr>
          <w:p w14:paraId="07813C31" w14:textId="77777777" w:rsidR="009545C3" w:rsidRPr="00864DF0" w:rsidRDefault="009545C3" w:rsidP="00F528C6">
            <w:pPr>
              <w:jc w:val="center"/>
              <w:rPr>
                <w:rFonts w:cs="Arial"/>
              </w:rPr>
            </w:pPr>
            <w:r w:rsidRPr="00864DF0">
              <w:rPr>
                <w:rFonts w:cs="Arial"/>
              </w:rPr>
              <w:t xml:space="preserve">2020 </w:t>
            </w:r>
            <w:r>
              <w:rPr>
                <w:rFonts w:cs="Arial"/>
              </w:rPr>
              <w:t xml:space="preserve">MTDS </w:t>
            </w:r>
            <w:r w:rsidRPr="00864DF0">
              <w:rPr>
                <w:rFonts w:cs="Arial"/>
              </w:rPr>
              <w:t>forecast</w:t>
            </w:r>
          </w:p>
        </w:tc>
      </w:tr>
      <w:tr w:rsidR="009545C3" w:rsidRPr="00864DF0" w14:paraId="20E3B1E9" w14:textId="77777777" w:rsidTr="00F528C6">
        <w:trPr>
          <w:trHeight w:val="660"/>
          <w:jc w:val="center"/>
        </w:trPr>
        <w:tc>
          <w:tcPr>
            <w:tcW w:w="5002" w:type="dxa"/>
            <w:tcBorders>
              <w:top w:val="thinThickSmallGap" w:sz="24" w:space="0" w:color="auto"/>
              <w:left w:val="nil"/>
              <w:right w:val="nil"/>
            </w:tcBorders>
            <w:vAlign w:val="center"/>
          </w:tcPr>
          <w:p w14:paraId="7F5AB2B7" w14:textId="77777777" w:rsidR="009545C3" w:rsidRPr="00864DF0" w:rsidRDefault="009545C3" w:rsidP="00F528C6">
            <w:pPr>
              <w:ind w:left="356"/>
              <w:rPr>
                <w:rFonts w:cs="Arial"/>
              </w:rPr>
            </w:pPr>
            <w:r w:rsidRPr="00864DF0">
              <w:rPr>
                <w:rFonts w:cs="Arial"/>
              </w:rPr>
              <w:t>State budget deficit financ</w:t>
            </w:r>
            <w:r>
              <w:rPr>
                <w:rFonts w:cs="Arial"/>
              </w:rPr>
              <w:t>ing</w:t>
            </w:r>
            <w:r w:rsidRPr="00864DF0">
              <w:rPr>
                <w:rFonts w:cs="Arial"/>
              </w:rPr>
              <w:t xml:space="preserve"> by net borrowings</w:t>
            </w:r>
          </w:p>
        </w:tc>
        <w:tc>
          <w:tcPr>
            <w:tcW w:w="1666" w:type="dxa"/>
            <w:tcBorders>
              <w:top w:val="thinThickSmallGap" w:sz="24" w:space="0" w:color="auto"/>
              <w:left w:val="nil"/>
              <w:right w:val="double" w:sz="4" w:space="0" w:color="auto"/>
            </w:tcBorders>
            <w:vAlign w:val="center"/>
          </w:tcPr>
          <w:p w14:paraId="55872179" w14:textId="77777777" w:rsidR="009545C3" w:rsidRPr="00864DF0" w:rsidRDefault="009545C3" w:rsidP="00F528C6">
            <w:pPr>
              <w:jc w:val="center"/>
              <w:rPr>
                <w:rFonts w:cs="Arial"/>
              </w:rPr>
            </w:pPr>
            <w:r w:rsidRPr="00864DF0">
              <w:rPr>
                <w:rFonts w:cs="Arial"/>
              </w:rPr>
              <w:t>17</w:t>
            </w:r>
            <w:r>
              <w:rPr>
                <w:rFonts w:cs="Arial"/>
              </w:rPr>
              <w:t>9</w:t>
            </w:r>
          </w:p>
        </w:tc>
        <w:tc>
          <w:tcPr>
            <w:tcW w:w="1101" w:type="dxa"/>
            <w:tcBorders>
              <w:top w:val="thinThickSmallGap" w:sz="24" w:space="0" w:color="auto"/>
              <w:left w:val="double" w:sz="4" w:space="0" w:color="auto"/>
              <w:right w:val="nil"/>
            </w:tcBorders>
            <w:vAlign w:val="center"/>
          </w:tcPr>
          <w:p w14:paraId="3C1BF6B3" w14:textId="77777777" w:rsidR="009545C3" w:rsidRPr="00864DF0" w:rsidRDefault="009545C3" w:rsidP="00F528C6">
            <w:pPr>
              <w:jc w:val="center"/>
              <w:rPr>
                <w:rFonts w:cs="Arial"/>
              </w:rPr>
            </w:pPr>
            <w:r w:rsidRPr="00864DF0">
              <w:rPr>
                <w:rFonts w:cs="Arial"/>
              </w:rPr>
              <w:t>231.8</w:t>
            </w:r>
          </w:p>
        </w:tc>
        <w:tc>
          <w:tcPr>
            <w:tcW w:w="1072" w:type="dxa"/>
            <w:tcBorders>
              <w:top w:val="thinThickSmallGap" w:sz="24" w:space="0" w:color="auto"/>
              <w:left w:val="nil"/>
              <w:right w:val="nil"/>
            </w:tcBorders>
            <w:vAlign w:val="center"/>
          </w:tcPr>
          <w:p w14:paraId="17D3FF68" w14:textId="77777777" w:rsidR="009545C3" w:rsidRPr="00864DF0" w:rsidRDefault="009545C3" w:rsidP="00F528C6">
            <w:pPr>
              <w:jc w:val="center"/>
              <w:rPr>
                <w:rFonts w:cs="Arial"/>
              </w:rPr>
            </w:pPr>
            <w:r w:rsidRPr="00864DF0">
              <w:rPr>
                <w:rFonts w:cs="Arial"/>
              </w:rPr>
              <w:t>227.3</w:t>
            </w:r>
          </w:p>
        </w:tc>
        <w:tc>
          <w:tcPr>
            <w:tcW w:w="1082" w:type="dxa"/>
            <w:tcBorders>
              <w:top w:val="thinThickSmallGap" w:sz="24" w:space="0" w:color="auto"/>
              <w:left w:val="nil"/>
              <w:right w:val="nil"/>
            </w:tcBorders>
            <w:vAlign w:val="center"/>
          </w:tcPr>
          <w:p w14:paraId="3AF9EC1C" w14:textId="77777777" w:rsidR="009545C3" w:rsidRPr="00864DF0" w:rsidRDefault="009545C3" w:rsidP="00F528C6">
            <w:pPr>
              <w:jc w:val="center"/>
              <w:rPr>
                <w:rFonts w:cs="Arial"/>
              </w:rPr>
            </w:pPr>
            <w:r w:rsidRPr="00864DF0">
              <w:rPr>
                <w:rFonts w:cs="Arial"/>
              </w:rPr>
              <w:t>167.6</w:t>
            </w:r>
          </w:p>
        </w:tc>
      </w:tr>
      <w:tr w:rsidR="009545C3" w:rsidRPr="00864DF0" w14:paraId="6D3992F9" w14:textId="77777777" w:rsidTr="00F528C6">
        <w:trPr>
          <w:trHeight w:val="322"/>
          <w:jc w:val="center"/>
        </w:trPr>
        <w:tc>
          <w:tcPr>
            <w:tcW w:w="5002" w:type="dxa"/>
            <w:tcBorders>
              <w:left w:val="nil"/>
              <w:right w:val="nil"/>
            </w:tcBorders>
            <w:vAlign w:val="center"/>
          </w:tcPr>
          <w:p w14:paraId="5A2CF2E9" w14:textId="77777777" w:rsidR="009545C3" w:rsidRPr="00864DF0" w:rsidRDefault="009545C3" w:rsidP="00F528C6">
            <w:pPr>
              <w:ind w:left="356"/>
              <w:rPr>
                <w:rFonts w:cs="Arial"/>
              </w:rPr>
            </w:pPr>
            <w:r w:rsidRPr="00864DF0">
              <w:rPr>
                <w:rFonts w:cs="Arial"/>
              </w:rPr>
              <w:t xml:space="preserve">Of which: </w:t>
            </w:r>
          </w:p>
        </w:tc>
        <w:tc>
          <w:tcPr>
            <w:tcW w:w="1666" w:type="dxa"/>
            <w:tcBorders>
              <w:left w:val="nil"/>
              <w:right w:val="double" w:sz="4" w:space="0" w:color="auto"/>
            </w:tcBorders>
            <w:vAlign w:val="center"/>
          </w:tcPr>
          <w:p w14:paraId="096FC87D" w14:textId="77777777" w:rsidR="009545C3" w:rsidRPr="00864DF0" w:rsidRDefault="009545C3" w:rsidP="00F528C6">
            <w:pPr>
              <w:jc w:val="center"/>
              <w:rPr>
                <w:rFonts w:cs="Arial"/>
              </w:rPr>
            </w:pPr>
          </w:p>
        </w:tc>
        <w:tc>
          <w:tcPr>
            <w:tcW w:w="1101" w:type="dxa"/>
            <w:tcBorders>
              <w:left w:val="double" w:sz="4" w:space="0" w:color="auto"/>
              <w:right w:val="nil"/>
            </w:tcBorders>
            <w:vAlign w:val="center"/>
          </w:tcPr>
          <w:p w14:paraId="206B0FD8" w14:textId="77777777" w:rsidR="009545C3" w:rsidRPr="00864DF0" w:rsidRDefault="009545C3" w:rsidP="00F528C6">
            <w:pPr>
              <w:jc w:val="center"/>
              <w:rPr>
                <w:rFonts w:cs="Arial"/>
              </w:rPr>
            </w:pPr>
          </w:p>
        </w:tc>
        <w:tc>
          <w:tcPr>
            <w:tcW w:w="1072" w:type="dxa"/>
            <w:tcBorders>
              <w:left w:val="nil"/>
              <w:right w:val="nil"/>
            </w:tcBorders>
            <w:vAlign w:val="center"/>
          </w:tcPr>
          <w:p w14:paraId="464BA04B" w14:textId="77777777" w:rsidR="009545C3" w:rsidRPr="00864DF0" w:rsidRDefault="009545C3" w:rsidP="00F528C6">
            <w:pPr>
              <w:jc w:val="center"/>
              <w:rPr>
                <w:rFonts w:cs="Arial"/>
              </w:rPr>
            </w:pPr>
          </w:p>
        </w:tc>
        <w:tc>
          <w:tcPr>
            <w:tcW w:w="1082" w:type="dxa"/>
            <w:tcBorders>
              <w:left w:val="nil"/>
              <w:right w:val="nil"/>
            </w:tcBorders>
            <w:vAlign w:val="center"/>
          </w:tcPr>
          <w:p w14:paraId="5E513A61" w14:textId="77777777" w:rsidR="009545C3" w:rsidRPr="00864DF0" w:rsidRDefault="009545C3" w:rsidP="00F528C6">
            <w:pPr>
              <w:jc w:val="center"/>
              <w:rPr>
                <w:rFonts w:cs="Arial"/>
              </w:rPr>
            </w:pPr>
          </w:p>
        </w:tc>
      </w:tr>
      <w:tr w:rsidR="009545C3" w:rsidRPr="00864DF0" w14:paraId="24EEEC12" w14:textId="77777777" w:rsidTr="00F528C6">
        <w:trPr>
          <w:trHeight w:val="505"/>
          <w:jc w:val="center"/>
        </w:trPr>
        <w:tc>
          <w:tcPr>
            <w:tcW w:w="5002" w:type="dxa"/>
            <w:tcBorders>
              <w:left w:val="nil"/>
              <w:right w:val="nil"/>
            </w:tcBorders>
            <w:vAlign w:val="center"/>
          </w:tcPr>
          <w:p w14:paraId="54C83E56" w14:textId="77777777" w:rsidR="009545C3" w:rsidRPr="00864DF0" w:rsidRDefault="009545C3" w:rsidP="00F528C6">
            <w:pPr>
              <w:ind w:left="657"/>
              <w:rPr>
                <w:rFonts w:cs="Arial"/>
              </w:rPr>
            </w:pPr>
            <w:r w:rsidRPr="00864DF0">
              <w:rPr>
                <w:rFonts w:cs="Arial"/>
              </w:rPr>
              <w:t>Domestic net borrowings (without promissory notes)</w:t>
            </w:r>
          </w:p>
        </w:tc>
        <w:tc>
          <w:tcPr>
            <w:tcW w:w="1666" w:type="dxa"/>
            <w:tcBorders>
              <w:left w:val="nil"/>
              <w:right w:val="double" w:sz="4" w:space="0" w:color="auto"/>
            </w:tcBorders>
            <w:vAlign w:val="center"/>
          </w:tcPr>
          <w:p w14:paraId="210C4807" w14:textId="77777777" w:rsidR="009545C3" w:rsidRPr="00864DF0" w:rsidRDefault="009545C3" w:rsidP="00F528C6">
            <w:pPr>
              <w:jc w:val="center"/>
              <w:rPr>
                <w:rFonts w:cs="Arial"/>
              </w:rPr>
            </w:pPr>
            <w:r w:rsidRPr="00864DF0">
              <w:rPr>
                <w:rFonts w:cs="Arial"/>
              </w:rPr>
              <w:t>4</w:t>
            </w:r>
            <w:r>
              <w:rPr>
                <w:rFonts w:cs="Arial"/>
              </w:rPr>
              <w:t>7</w:t>
            </w:r>
          </w:p>
        </w:tc>
        <w:tc>
          <w:tcPr>
            <w:tcW w:w="1101" w:type="dxa"/>
            <w:tcBorders>
              <w:left w:val="double" w:sz="4" w:space="0" w:color="auto"/>
              <w:right w:val="nil"/>
            </w:tcBorders>
            <w:vAlign w:val="center"/>
          </w:tcPr>
          <w:p w14:paraId="6F3405C3" w14:textId="77777777" w:rsidR="009545C3" w:rsidRPr="00864DF0" w:rsidRDefault="009545C3" w:rsidP="00F528C6">
            <w:pPr>
              <w:jc w:val="center"/>
              <w:rPr>
                <w:rFonts w:cs="Arial"/>
              </w:rPr>
            </w:pPr>
            <w:r w:rsidRPr="00864DF0">
              <w:rPr>
                <w:rFonts w:cs="Arial"/>
              </w:rPr>
              <w:t>47.0</w:t>
            </w:r>
          </w:p>
        </w:tc>
        <w:tc>
          <w:tcPr>
            <w:tcW w:w="1072" w:type="dxa"/>
            <w:tcBorders>
              <w:left w:val="nil"/>
              <w:right w:val="nil"/>
            </w:tcBorders>
            <w:vAlign w:val="center"/>
          </w:tcPr>
          <w:p w14:paraId="39CE0626" w14:textId="77777777" w:rsidR="009545C3" w:rsidRPr="00864DF0" w:rsidRDefault="009545C3" w:rsidP="00F528C6">
            <w:pPr>
              <w:jc w:val="center"/>
              <w:rPr>
                <w:rFonts w:cs="Arial"/>
              </w:rPr>
            </w:pPr>
            <w:r w:rsidRPr="00864DF0">
              <w:rPr>
                <w:rFonts w:cs="Arial"/>
              </w:rPr>
              <w:t>48.0</w:t>
            </w:r>
          </w:p>
        </w:tc>
        <w:tc>
          <w:tcPr>
            <w:tcW w:w="1082" w:type="dxa"/>
            <w:tcBorders>
              <w:left w:val="nil"/>
              <w:right w:val="nil"/>
            </w:tcBorders>
            <w:vAlign w:val="center"/>
          </w:tcPr>
          <w:p w14:paraId="2FCEA078" w14:textId="77777777" w:rsidR="009545C3" w:rsidRPr="00864DF0" w:rsidRDefault="009545C3" w:rsidP="00F528C6">
            <w:pPr>
              <w:jc w:val="center"/>
              <w:rPr>
                <w:rFonts w:cs="Arial"/>
              </w:rPr>
            </w:pPr>
            <w:r w:rsidRPr="00864DF0">
              <w:rPr>
                <w:rFonts w:cs="Arial"/>
              </w:rPr>
              <w:t>50.0</w:t>
            </w:r>
          </w:p>
        </w:tc>
      </w:tr>
      <w:tr w:rsidR="009545C3" w:rsidRPr="00864DF0" w14:paraId="4C1C5CDA" w14:textId="77777777" w:rsidTr="00F528C6">
        <w:trPr>
          <w:trHeight w:val="313"/>
          <w:jc w:val="center"/>
        </w:trPr>
        <w:tc>
          <w:tcPr>
            <w:tcW w:w="5002" w:type="dxa"/>
            <w:tcBorders>
              <w:left w:val="nil"/>
              <w:right w:val="nil"/>
            </w:tcBorders>
            <w:vAlign w:val="center"/>
          </w:tcPr>
          <w:p w14:paraId="7CE32529" w14:textId="77777777" w:rsidR="009545C3" w:rsidRPr="00864DF0" w:rsidRDefault="009545C3" w:rsidP="00F528C6">
            <w:pPr>
              <w:ind w:left="657"/>
              <w:jc w:val="right"/>
              <w:rPr>
                <w:rFonts w:cs="Arial"/>
              </w:rPr>
            </w:pPr>
            <w:r w:rsidRPr="00864DF0">
              <w:rPr>
                <w:rFonts w:cs="Arial"/>
              </w:rPr>
              <w:t>Share, (%)</w:t>
            </w:r>
          </w:p>
        </w:tc>
        <w:tc>
          <w:tcPr>
            <w:tcW w:w="1666" w:type="dxa"/>
            <w:tcBorders>
              <w:left w:val="nil"/>
              <w:right w:val="double" w:sz="4" w:space="0" w:color="auto"/>
            </w:tcBorders>
            <w:vAlign w:val="center"/>
          </w:tcPr>
          <w:p w14:paraId="31157FB2" w14:textId="77777777" w:rsidR="009545C3" w:rsidRPr="00864DF0" w:rsidRDefault="009545C3" w:rsidP="00F528C6">
            <w:pPr>
              <w:jc w:val="center"/>
              <w:rPr>
                <w:rFonts w:cs="Arial"/>
              </w:rPr>
            </w:pPr>
            <w:r>
              <w:rPr>
                <w:rFonts w:cs="Arial"/>
              </w:rPr>
              <w:t>26.3</w:t>
            </w:r>
          </w:p>
        </w:tc>
        <w:tc>
          <w:tcPr>
            <w:tcW w:w="1101" w:type="dxa"/>
            <w:tcBorders>
              <w:left w:val="double" w:sz="4" w:space="0" w:color="auto"/>
              <w:right w:val="nil"/>
            </w:tcBorders>
            <w:vAlign w:val="center"/>
          </w:tcPr>
          <w:p w14:paraId="20D0956D" w14:textId="77777777" w:rsidR="009545C3" w:rsidRPr="00864DF0" w:rsidRDefault="009545C3" w:rsidP="00F528C6">
            <w:pPr>
              <w:jc w:val="center"/>
              <w:rPr>
                <w:rFonts w:cs="Arial"/>
              </w:rPr>
            </w:pPr>
            <w:r w:rsidRPr="00864DF0">
              <w:rPr>
                <w:rFonts w:cs="Arial"/>
              </w:rPr>
              <w:t>20.3</w:t>
            </w:r>
          </w:p>
        </w:tc>
        <w:tc>
          <w:tcPr>
            <w:tcW w:w="1072" w:type="dxa"/>
            <w:tcBorders>
              <w:left w:val="nil"/>
              <w:right w:val="nil"/>
            </w:tcBorders>
            <w:vAlign w:val="center"/>
          </w:tcPr>
          <w:p w14:paraId="7D012E31" w14:textId="77777777" w:rsidR="009545C3" w:rsidRPr="00864DF0" w:rsidRDefault="009545C3" w:rsidP="00F528C6">
            <w:pPr>
              <w:jc w:val="center"/>
              <w:rPr>
                <w:rFonts w:cs="Arial"/>
              </w:rPr>
            </w:pPr>
            <w:r w:rsidRPr="00864DF0">
              <w:rPr>
                <w:rFonts w:cs="Arial"/>
              </w:rPr>
              <w:t>21.1</w:t>
            </w:r>
          </w:p>
        </w:tc>
        <w:tc>
          <w:tcPr>
            <w:tcW w:w="1082" w:type="dxa"/>
            <w:tcBorders>
              <w:left w:val="nil"/>
              <w:right w:val="nil"/>
            </w:tcBorders>
            <w:vAlign w:val="center"/>
          </w:tcPr>
          <w:p w14:paraId="31560576" w14:textId="77777777" w:rsidR="009545C3" w:rsidRPr="00864DF0" w:rsidRDefault="009545C3" w:rsidP="00F528C6">
            <w:pPr>
              <w:jc w:val="center"/>
              <w:rPr>
                <w:rFonts w:cs="Arial"/>
              </w:rPr>
            </w:pPr>
            <w:r w:rsidRPr="00864DF0">
              <w:rPr>
                <w:rFonts w:cs="Arial"/>
              </w:rPr>
              <w:t>29.8</w:t>
            </w:r>
          </w:p>
        </w:tc>
      </w:tr>
      <w:tr w:rsidR="009545C3" w:rsidRPr="00864DF0" w14:paraId="2F3D715B" w14:textId="77777777" w:rsidTr="00F528C6">
        <w:trPr>
          <w:trHeight w:val="417"/>
          <w:jc w:val="center"/>
        </w:trPr>
        <w:tc>
          <w:tcPr>
            <w:tcW w:w="5002" w:type="dxa"/>
            <w:tcBorders>
              <w:left w:val="nil"/>
              <w:right w:val="nil"/>
            </w:tcBorders>
            <w:vAlign w:val="center"/>
          </w:tcPr>
          <w:p w14:paraId="772300FE" w14:textId="77777777" w:rsidR="009545C3" w:rsidRPr="00864DF0" w:rsidRDefault="009545C3" w:rsidP="00F528C6">
            <w:pPr>
              <w:ind w:left="635"/>
              <w:rPr>
                <w:rFonts w:cs="Arial"/>
              </w:rPr>
            </w:pPr>
            <w:r w:rsidRPr="00864DF0">
              <w:rPr>
                <w:rFonts w:cs="Arial"/>
              </w:rPr>
              <w:t>External net borrowings</w:t>
            </w:r>
          </w:p>
        </w:tc>
        <w:tc>
          <w:tcPr>
            <w:tcW w:w="1666" w:type="dxa"/>
            <w:tcBorders>
              <w:left w:val="nil"/>
              <w:right w:val="double" w:sz="4" w:space="0" w:color="auto"/>
            </w:tcBorders>
            <w:vAlign w:val="center"/>
          </w:tcPr>
          <w:p w14:paraId="14E9FC66" w14:textId="77777777" w:rsidR="009545C3" w:rsidRPr="00864DF0" w:rsidRDefault="009545C3" w:rsidP="00F528C6">
            <w:pPr>
              <w:jc w:val="center"/>
              <w:rPr>
                <w:rFonts w:cs="Arial"/>
              </w:rPr>
            </w:pPr>
            <w:r w:rsidRPr="00864DF0">
              <w:rPr>
                <w:rFonts w:cs="Arial"/>
              </w:rPr>
              <w:t>1</w:t>
            </w:r>
            <w:r>
              <w:rPr>
                <w:rFonts w:cs="Arial"/>
              </w:rPr>
              <w:t>32</w:t>
            </w:r>
          </w:p>
        </w:tc>
        <w:tc>
          <w:tcPr>
            <w:tcW w:w="1101" w:type="dxa"/>
            <w:tcBorders>
              <w:left w:val="double" w:sz="4" w:space="0" w:color="auto"/>
              <w:right w:val="nil"/>
            </w:tcBorders>
            <w:vAlign w:val="center"/>
          </w:tcPr>
          <w:p w14:paraId="6F848CB9" w14:textId="77777777" w:rsidR="009545C3" w:rsidRPr="00864DF0" w:rsidRDefault="009545C3" w:rsidP="00F528C6">
            <w:pPr>
              <w:jc w:val="center"/>
              <w:rPr>
                <w:rFonts w:cs="Arial"/>
              </w:rPr>
            </w:pPr>
            <w:r w:rsidRPr="00864DF0">
              <w:rPr>
                <w:rFonts w:cs="Arial"/>
              </w:rPr>
              <w:t>184.8</w:t>
            </w:r>
          </w:p>
        </w:tc>
        <w:tc>
          <w:tcPr>
            <w:tcW w:w="1072" w:type="dxa"/>
            <w:tcBorders>
              <w:left w:val="nil"/>
              <w:right w:val="nil"/>
            </w:tcBorders>
            <w:vAlign w:val="center"/>
          </w:tcPr>
          <w:p w14:paraId="4B1793D6" w14:textId="77777777" w:rsidR="009545C3" w:rsidRPr="00864DF0" w:rsidRDefault="009545C3" w:rsidP="00F528C6">
            <w:pPr>
              <w:jc w:val="center"/>
              <w:rPr>
                <w:rFonts w:cs="Arial"/>
              </w:rPr>
            </w:pPr>
            <w:r w:rsidRPr="00864DF0">
              <w:rPr>
                <w:rFonts w:cs="Arial"/>
              </w:rPr>
              <w:t>179.3</w:t>
            </w:r>
          </w:p>
        </w:tc>
        <w:tc>
          <w:tcPr>
            <w:tcW w:w="1082" w:type="dxa"/>
            <w:tcBorders>
              <w:left w:val="nil"/>
              <w:right w:val="nil"/>
            </w:tcBorders>
            <w:vAlign w:val="center"/>
          </w:tcPr>
          <w:p w14:paraId="628F51AE" w14:textId="77777777" w:rsidR="009545C3" w:rsidRPr="00864DF0" w:rsidRDefault="009545C3" w:rsidP="00F528C6">
            <w:pPr>
              <w:jc w:val="center"/>
              <w:rPr>
                <w:rFonts w:cs="Arial"/>
              </w:rPr>
            </w:pPr>
            <w:r w:rsidRPr="00864DF0">
              <w:rPr>
                <w:rFonts w:cs="Arial"/>
              </w:rPr>
              <w:t>117.6</w:t>
            </w:r>
          </w:p>
        </w:tc>
      </w:tr>
      <w:tr w:rsidR="009545C3" w:rsidRPr="00864DF0" w14:paraId="4CF1D3A0" w14:textId="77777777" w:rsidTr="00F528C6">
        <w:trPr>
          <w:trHeight w:val="335"/>
          <w:jc w:val="center"/>
        </w:trPr>
        <w:tc>
          <w:tcPr>
            <w:tcW w:w="5002" w:type="dxa"/>
            <w:tcBorders>
              <w:left w:val="nil"/>
              <w:bottom w:val="thickThinSmallGap" w:sz="24" w:space="0" w:color="auto"/>
              <w:right w:val="nil"/>
            </w:tcBorders>
            <w:vAlign w:val="center"/>
          </w:tcPr>
          <w:p w14:paraId="63326E2C" w14:textId="77777777" w:rsidR="009545C3" w:rsidRPr="00864DF0" w:rsidRDefault="009545C3" w:rsidP="00F528C6">
            <w:pPr>
              <w:ind w:left="635"/>
              <w:jc w:val="right"/>
              <w:rPr>
                <w:rFonts w:cs="Arial"/>
              </w:rPr>
            </w:pPr>
            <w:r w:rsidRPr="00864DF0">
              <w:rPr>
                <w:rFonts w:cs="Arial"/>
              </w:rPr>
              <w:t>Share, (%)</w:t>
            </w:r>
          </w:p>
        </w:tc>
        <w:tc>
          <w:tcPr>
            <w:tcW w:w="1666" w:type="dxa"/>
            <w:tcBorders>
              <w:left w:val="nil"/>
              <w:bottom w:val="thickThinSmallGap" w:sz="24" w:space="0" w:color="auto"/>
              <w:right w:val="double" w:sz="4" w:space="0" w:color="auto"/>
            </w:tcBorders>
            <w:vAlign w:val="center"/>
          </w:tcPr>
          <w:p w14:paraId="20B97E14" w14:textId="77777777" w:rsidR="009545C3" w:rsidRPr="00864DF0" w:rsidRDefault="009545C3" w:rsidP="00F528C6">
            <w:pPr>
              <w:jc w:val="center"/>
              <w:rPr>
                <w:rFonts w:cs="Arial"/>
              </w:rPr>
            </w:pPr>
            <w:r w:rsidRPr="00864DF0">
              <w:rPr>
                <w:rFonts w:cs="Arial"/>
              </w:rPr>
              <w:t>7</w:t>
            </w:r>
            <w:r>
              <w:rPr>
                <w:rFonts w:cs="Arial"/>
              </w:rPr>
              <w:t>3.7</w:t>
            </w:r>
          </w:p>
        </w:tc>
        <w:tc>
          <w:tcPr>
            <w:tcW w:w="1101" w:type="dxa"/>
            <w:tcBorders>
              <w:left w:val="double" w:sz="4" w:space="0" w:color="auto"/>
              <w:bottom w:val="thickThinSmallGap" w:sz="24" w:space="0" w:color="auto"/>
              <w:right w:val="nil"/>
            </w:tcBorders>
            <w:vAlign w:val="center"/>
          </w:tcPr>
          <w:p w14:paraId="072694EB" w14:textId="77777777" w:rsidR="009545C3" w:rsidRPr="00864DF0" w:rsidRDefault="009545C3" w:rsidP="00F528C6">
            <w:pPr>
              <w:jc w:val="center"/>
              <w:rPr>
                <w:rFonts w:cs="Arial"/>
              </w:rPr>
            </w:pPr>
            <w:r w:rsidRPr="00864DF0">
              <w:rPr>
                <w:rFonts w:cs="Arial"/>
              </w:rPr>
              <w:t>79.7</w:t>
            </w:r>
          </w:p>
        </w:tc>
        <w:tc>
          <w:tcPr>
            <w:tcW w:w="1072" w:type="dxa"/>
            <w:tcBorders>
              <w:left w:val="nil"/>
              <w:bottom w:val="thickThinSmallGap" w:sz="24" w:space="0" w:color="auto"/>
              <w:right w:val="nil"/>
            </w:tcBorders>
            <w:vAlign w:val="center"/>
          </w:tcPr>
          <w:p w14:paraId="6E2BB211" w14:textId="77777777" w:rsidR="009545C3" w:rsidRPr="00864DF0" w:rsidRDefault="009545C3" w:rsidP="00F528C6">
            <w:pPr>
              <w:jc w:val="center"/>
              <w:rPr>
                <w:rFonts w:cs="Arial"/>
              </w:rPr>
            </w:pPr>
            <w:r w:rsidRPr="00864DF0">
              <w:rPr>
                <w:rFonts w:cs="Arial"/>
              </w:rPr>
              <w:t>78.9</w:t>
            </w:r>
          </w:p>
        </w:tc>
        <w:tc>
          <w:tcPr>
            <w:tcW w:w="1082" w:type="dxa"/>
            <w:tcBorders>
              <w:left w:val="nil"/>
              <w:bottom w:val="thickThinSmallGap" w:sz="24" w:space="0" w:color="auto"/>
              <w:right w:val="nil"/>
            </w:tcBorders>
            <w:vAlign w:val="center"/>
          </w:tcPr>
          <w:p w14:paraId="1D5B26F2" w14:textId="77777777" w:rsidR="009545C3" w:rsidRPr="00864DF0" w:rsidRDefault="009545C3" w:rsidP="00F528C6">
            <w:pPr>
              <w:jc w:val="center"/>
              <w:rPr>
                <w:rFonts w:cs="Arial"/>
              </w:rPr>
            </w:pPr>
            <w:r w:rsidRPr="00864DF0">
              <w:rPr>
                <w:rFonts w:cs="Arial"/>
              </w:rPr>
              <w:t>70.2</w:t>
            </w:r>
          </w:p>
        </w:tc>
      </w:tr>
    </w:tbl>
    <w:p w14:paraId="7450866D" w14:textId="77777777" w:rsidR="009545C3" w:rsidRDefault="009545C3" w:rsidP="009545C3">
      <w:pPr>
        <w:pStyle w:val="ListParagraph"/>
        <w:ind w:left="360"/>
        <w:jc w:val="both"/>
      </w:pPr>
    </w:p>
    <w:p w14:paraId="5041F39D" w14:textId="77777777" w:rsidR="009545C3" w:rsidRDefault="009545C3" w:rsidP="009545C3">
      <w:pPr>
        <w:pStyle w:val="ListParagraph"/>
      </w:pPr>
    </w:p>
    <w:p w14:paraId="0D2BBD28" w14:textId="77777777" w:rsidR="009545C3" w:rsidRDefault="009545C3" w:rsidP="009545C3">
      <w:pPr>
        <w:pStyle w:val="ListParagraph"/>
        <w:numPr>
          <w:ilvl w:val="0"/>
          <w:numId w:val="3"/>
        </w:numPr>
        <w:jc w:val="both"/>
      </w:pPr>
      <w:r>
        <w:t xml:space="preserve">As a guiding tool for borrowings in conformity with the desired currency, interest rate and maturity </w:t>
      </w:r>
      <w:proofErr w:type="gramStart"/>
      <w:r>
        <w:t>mix;</w:t>
      </w:r>
      <w:proofErr w:type="gramEnd"/>
      <w:r>
        <w:t xml:space="preserve"> the MTDS uses four benchmarks as limits which include share of domestic debt, share of fixed interest rate debt, average time to maturity of the debt portfolio and the share of government securities maturing in one year. The actual outcome of the indicators in recent years remained within the MTDS benchmarks limits except for one indicator in 2016, thereby demonstrating the effectiveness of the formulated MTDS in guiding borrowing operations (Table 5).</w:t>
      </w:r>
    </w:p>
    <w:p w14:paraId="62046951" w14:textId="77777777" w:rsidR="009545C3" w:rsidRDefault="009545C3" w:rsidP="009545C3">
      <w:pPr>
        <w:pStyle w:val="ListParagraph"/>
        <w:ind w:left="360"/>
        <w:jc w:val="both"/>
      </w:pPr>
    </w:p>
    <w:p w14:paraId="5E4934B2" w14:textId="77777777" w:rsidR="009545C3" w:rsidRDefault="009545C3" w:rsidP="009545C3">
      <w:pPr>
        <w:jc w:val="both"/>
      </w:pPr>
      <w:r>
        <w:t>Table 5: Effectiveness of MTDS Benchmarks</w:t>
      </w:r>
    </w:p>
    <w:tbl>
      <w:tblPr>
        <w:tblW w:w="735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0"/>
        <w:gridCol w:w="1338"/>
        <w:gridCol w:w="1070"/>
        <w:gridCol w:w="1070"/>
        <w:gridCol w:w="960"/>
      </w:tblGrid>
      <w:tr w:rsidR="009545C3" w:rsidRPr="00BD4C59" w14:paraId="7CB6E8F0" w14:textId="77777777" w:rsidTr="00F528C6">
        <w:trPr>
          <w:trHeight w:val="300"/>
        </w:trPr>
        <w:tc>
          <w:tcPr>
            <w:tcW w:w="3000" w:type="dxa"/>
            <w:tcBorders>
              <w:top w:val="single" w:sz="4" w:space="0" w:color="auto"/>
              <w:bottom w:val="single" w:sz="4" w:space="0" w:color="auto"/>
              <w:right w:val="single" w:sz="4" w:space="0" w:color="auto"/>
            </w:tcBorders>
            <w:shd w:val="clear" w:color="auto" w:fill="auto"/>
            <w:noWrap/>
            <w:vAlign w:val="bottom"/>
            <w:hideMark/>
          </w:tcPr>
          <w:p w14:paraId="39777C90" w14:textId="77777777" w:rsidR="009545C3" w:rsidRPr="00BD4C59" w:rsidRDefault="009545C3" w:rsidP="00F528C6">
            <w:pPr>
              <w:rPr>
                <w:rFonts w:ascii="Times New Roman" w:eastAsia="Times New Roman" w:hAnsi="Times New Roman" w:cs="Times New Roman"/>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2695E" w14:textId="33F76A29" w:rsidR="009545C3" w:rsidRPr="00BD4C59" w:rsidRDefault="00523465" w:rsidP="00F528C6">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MTDS </w:t>
            </w:r>
            <w:r w:rsidR="009545C3" w:rsidRPr="00BD4C59">
              <w:rPr>
                <w:rFonts w:ascii="Calibri" w:eastAsia="Times New Roman" w:hAnsi="Calibri" w:cs="Calibri"/>
                <w:b/>
                <w:bCs/>
                <w:color w:val="000000"/>
                <w:lang w:eastAsia="en-GB"/>
              </w:rPr>
              <w:t>Benchmark</w:t>
            </w:r>
            <w:r>
              <w:rPr>
                <w:rFonts w:ascii="Calibri" w:eastAsia="Times New Roman" w:hAnsi="Calibri" w:cs="Calibri"/>
                <w:b/>
                <w:bCs/>
                <w:color w:val="000000"/>
                <w:lang w:eastAsia="en-GB"/>
              </w:rPr>
              <w:t>s</w:t>
            </w:r>
          </w:p>
        </w:tc>
        <w:tc>
          <w:tcPr>
            <w:tcW w:w="3100" w:type="dxa"/>
            <w:gridSpan w:val="3"/>
            <w:tcBorders>
              <w:top w:val="single" w:sz="4" w:space="0" w:color="auto"/>
              <w:left w:val="single" w:sz="4" w:space="0" w:color="auto"/>
              <w:bottom w:val="single" w:sz="4" w:space="0" w:color="auto"/>
            </w:tcBorders>
            <w:shd w:val="clear" w:color="auto" w:fill="auto"/>
            <w:noWrap/>
            <w:vAlign w:val="bottom"/>
            <w:hideMark/>
          </w:tcPr>
          <w:p w14:paraId="69C118CE" w14:textId="77777777" w:rsidR="009545C3" w:rsidRPr="00BD4C59" w:rsidRDefault="009545C3" w:rsidP="00F528C6">
            <w:pPr>
              <w:jc w:val="center"/>
              <w:rPr>
                <w:rFonts w:ascii="Calibri" w:eastAsia="Times New Roman" w:hAnsi="Calibri" w:cs="Calibri"/>
                <w:b/>
                <w:bCs/>
                <w:color w:val="000000"/>
                <w:lang w:eastAsia="en-GB"/>
              </w:rPr>
            </w:pPr>
            <w:r w:rsidRPr="00BD4C59">
              <w:rPr>
                <w:rFonts w:ascii="Calibri" w:eastAsia="Times New Roman" w:hAnsi="Calibri" w:cs="Calibri"/>
                <w:b/>
                <w:bCs/>
                <w:color w:val="000000"/>
                <w:lang w:eastAsia="en-GB"/>
              </w:rPr>
              <w:t>Actual Outcome</w:t>
            </w:r>
          </w:p>
          <w:p w14:paraId="2FE198FD" w14:textId="77777777" w:rsidR="009545C3" w:rsidRPr="00BD4C59" w:rsidRDefault="009545C3" w:rsidP="00F528C6">
            <w:pPr>
              <w:jc w:val="center"/>
              <w:rPr>
                <w:rFonts w:ascii="Calibri" w:eastAsia="Times New Roman" w:hAnsi="Calibri" w:cs="Calibri"/>
                <w:color w:val="000000"/>
                <w:lang w:eastAsia="en-GB"/>
              </w:rPr>
            </w:pPr>
          </w:p>
        </w:tc>
      </w:tr>
      <w:tr w:rsidR="009545C3" w:rsidRPr="00BD4C59" w14:paraId="2A48EE78" w14:textId="77777777" w:rsidTr="00F528C6">
        <w:trPr>
          <w:trHeight w:val="300"/>
        </w:trPr>
        <w:tc>
          <w:tcPr>
            <w:tcW w:w="3000" w:type="dxa"/>
            <w:tcBorders>
              <w:top w:val="single" w:sz="4" w:space="0" w:color="auto"/>
              <w:right w:val="single" w:sz="4" w:space="0" w:color="auto"/>
            </w:tcBorders>
            <w:shd w:val="clear" w:color="auto" w:fill="auto"/>
            <w:noWrap/>
            <w:vAlign w:val="bottom"/>
            <w:hideMark/>
          </w:tcPr>
          <w:p w14:paraId="101346E3" w14:textId="77777777" w:rsidR="009545C3" w:rsidRPr="00BD4C59" w:rsidRDefault="009545C3" w:rsidP="00F528C6">
            <w:pPr>
              <w:rPr>
                <w:rFonts w:ascii="Calibri" w:eastAsia="Times New Roman" w:hAnsi="Calibri" w:cs="Calibri"/>
                <w:color w:val="000000"/>
                <w:lang w:eastAsia="en-GB"/>
              </w:rPr>
            </w:pPr>
          </w:p>
        </w:tc>
        <w:tc>
          <w:tcPr>
            <w:tcW w:w="1250" w:type="dxa"/>
            <w:tcBorders>
              <w:top w:val="single" w:sz="4" w:space="0" w:color="auto"/>
              <w:left w:val="single" w:sz="4" w:space="0" w:color="auto"/>
              <w:right w:val="single" w:sz="4" w:space="0" w:color="auto"/>
            </w:tcBorders>
            <w:shd w:val="clear" w:color="auto" w:fill="auto"/>
            <w:noWrap/>
            <w:vAlign w:val="bottom"/>
            <w:hideMark/>
          </w:tcPr>
          <w:p w14:paraId="4E932424" w14:textId="77777777" w:rsidR="009545C3" w:rsidRPr="00BD4C59" w:rsidRDefault="009545C3" w:rsidP="00F528C6">
            <w:pPr>
              <w:rPr>
                <w:rFonts w:ascii="Times New Roman" w:eastAsia="Times New Roman" w:hAnsi="Times New Roman" w:cs="Times New Roman"/>
                <w:sz w:val="20"/>
                <w:szCs w:val="20"/>
                <w:lang w:eastAsia="en-GB"/>
              </w:rPr>
            </w:pPr>
          </w:p>
        </w:tc>
        <w:tc>
          <w:tcPr>
            <w:tcW w:w="1070" w:type="dxa"/>
            <w:tcBorders>
              <w:top w:val="single" w:sz="4" w:space="0" w:color="auto"/>
              <w:left w:val="single" w:sz="4" w:space="0" w:color="auto"/>
              <w:bottom w:val="single" w:sz="4" w:space="0" w:color="auto"/>
            </w:tcBorders>
            <w:shd w:val="clear" w:color="auto" w:fill="auto"/>
            <w:noWrap/>
            <w:vAlign w:val="bottom"/>
            <w:hideMark/>
          </w:tcPr>
          <w:p w14:paraId="7DDE6353"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2017</w:t>
            </w:r>
          </w:p>
        </w:tc>
        <w:tc>
          <w:tcPr>
            <w:tcW w:w="1070" w:type="dxa"/>
            <w:tcBorders>
              <w:top w:val="single" w:sz="4" w:space="0" w:color="auto"/>
              <w:bottom w:val="single" w:sz="4" w:space="0" w:color="auto"/>
            </w:tcBorders>
            <w:shd w:val="clear" w:color="auto" w:fill="auto"/>
            <w:noWrap/>
            <w:vAlign w:val="bottom"/>
            <w:hideMark/>
          </w:tcPr>
          <w:p w14:paraId="579556B8"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2016</w:t>
            </w:r>
          </w:p>
        </w:tc>
        <w:tc>
          <w:tcPr>
            <w:tcW w:w="960" w:type="dxa"/>
            <w:tcBorders>
              <w:top w:val="single" w:sz="4" w:space="0" w:color="auto"/>
              <w:bottom w:val="single" w:sz="4" w:space="0" w:color="auto"/>
            </w:tcBorders>
            <w:shd w:val="clear" w:color="auto" w:fill="auto"/>
            <w:noWrap/>
            <w:vAlign w:val="bottom"/>
            <w:hideMark/>
          </w:tcPr>
          <w:p w14:paraId="172CBC85"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2015</w:t>
            </w:r>
          </w:p>
        </w:tc>
      </w:tr>
      <w:tr w:rsidR="009545C3" w:rsidRPr="00BD4C59" w14:paraId="3058F276" w14:textId="77777777" w:rsidTr="00F528C6">
        <w:trPr>
          <w:trHeight w:val="300"/>
        </w:trPr>
        <w:tc>
          <w:tcPr>
            <w:tcW w:w="3000" w:type="dxa"/>
            <w:tcBorders>
              <w:right w:val="single" w:sz="4" w:space="0" w:color="auto"/>
            </w:tcBorders>
            <w:shd w:val="clear" w:color="auto" w:fill="auto"/>
            <w:noWrap/>
            <w:vAlign w:val="bottom"/>
            <w:hideMark/>
          </w:tcPr>
          <w:p w14:paraId="4AF13541" w14:textId="77777777" w:rsidR="009545C3" w:rsidRPr="00BD4C59" w:rsidRDefault="009545C3" w:rsidP="00F528C6">
            <w:pPr>
              <w:rPr>
                <w:rFonts w:ascii="Calibri" w:eastAsia="Times New Roman" w:hAnsi="Calibri" w:cs="Calibri"/>
                <w:color w:val="000000"/>
                <w:lang w:eastAsia="en-GB"/>
              </w:rPr>
            </w:pPr>
            <w:r w:rsidRPr="00BD4C59">
              <w:rPr>
                <w:rFonts w:ascii="Calibri" w:eastAsia="Times New Roman" w:hAnsi="Calibri" w:cs="Calibri"/>
                <w:color w:val="000000"/>
                <w:lang w:eastAsia="en-GB"/>
              </w:rPr>
              <w:t>ATM</w:t>
            </w:r>
          </w:p>
        </w:tc>
        <w:tc>
          <w:tcPr>
            <w:tcW w:w="1250" w:type="dxa"/>
            <w:tcBorders>
              <w:left w:val="single" w:sz="4" w:space="0" w:color="auto"/>
              <w:right w:val="single" w:sz="4" w:space="0" w:color="auto"/>
            </w:tcBorders>
            <w:shd w:val="clear" w:color="auto" w:fill="auto"/>
            <w:noWrap/>
            <w:vAlign w:val="bottom"/>
            <w:hideMark/>
          </w:tcPr>
          <w:p w14:paraId="2294D947" w14:textId="77777777" w:rsidR="009545C3" w:rsidRPr="00BD4C59" w:rsidRDefault="009545C3" w:rsidP="00F528C6">
            <w:pPr>
              <w:rPr>
                <w:rFonts w:ascii="Calibri" w:eastAsia="Times New Roman" w:hAnsi="Calibri" w:cs="Calibri"/>
                <w:color w:val="000000"/>
                <w:lang w:eastAsia="en-GB"/>
              </w:rPr>
            </w:pPr>
            <w:r w:rsidRPr="00BD4C59">
              <w:rPr>
                <w:rFonts w:ascii="Calibri" w:eastAsia="Times New Roman" w:hAnsi="Calibri" w:cs="Calibri"/>
                <w:color w:val="000000"/>
                <w:lang w:eastAsia="en-GB"/>
              </w:rPr>
              <w:t>8-11 years</w:t>
            </w:r>
          </w:p>
        </w:tc>
        <w:tc>
          <w:tcPr>
            <w:tcW w:w="1070" w:type="dxa"/>
            <w:tcBorders>
              <w:top w:val="single" w:sz="4" w:space="0" w:color="auto"/>
              <w:left w:val="single" w:sz="4" w:space="0" w:color="auto"/>
            </w:tcBorders>
            <w:shd w:val="clear" w:color="auto" w:fill="auto"/>
            <w:noWrap/>
            <w:vAlign w:val="bottom"/>
            <w:hideMark/>
          </w:tcPr>
          <w:p w14:paraId="43604A64"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9.0</w:t>
            </w:r>
          </w:p>
        </w:tc>
        <w:tc>
          <w:tcPr>
            <w:tcW w:w="1070" w:type="dxa"/>
            <w:tcBorders>
              <w:top w:val="single" w:sz="4" w:space="0" w:color="auto"/>
            </w:tcBorders>
            <w:shd w:val="clear" w:color="auto" w:fill="auto"/>
            <w:noWrap/>
            <w:vAlign w:val="bottom"/>
            <w:hideMark/>
          </w:tcPr>
          <w:p w14:paraId="6012B0BF"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9.3</w:t>
            </w:r>
          </w:p>
        </w:tc>
        <w:tc>
          <w:tcPr>
            <w:tcW w:w="960" w:type="dxa"/>
            <w:tcBorders>
              <w:top w:val="single" w:sz="4" w:space="0" w:color="auto"/>
            </w:tcBorders>
            <w:shd w:val="clear" w:color="auto" w:fill="auto"/>
            <w:noWrap/>
            <w:vAlign w:val="bottom"/>
            <w:hideMark/>
          </w:tcPr>
          <w:p w14:paraId="48138819"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9.7</w:t>
            </w:r>
          </w:p>
        </w:tc>
      </w:tr>
      <w:tr w:rsidR="009545C3" w:rsidRPr="00BD4C59" w14:paraId="753B017B" w14:textId="77777777" w:rsidTr="00F528C6">
        <w:trPr>
          <w:trHeight w:val="300"/>
        </w:trPr>
        <w:tc>
          <w:tcPr>
            <w:tcW w:w="3000" w:type="dxa"/>
            <w:tcBorders>
              <w:right w:val="single" w:sz="4" w:space="0" w:color="auto"/>
            </w:tcBorders>
            <w:shd w:val="clear" w:color="auto" w:fill="auto"/>
            <w:noWrap/>
            <w:vAlign w:val="bottom"/>
            <w:hideMark/>
          </w:tcPr>
          <w:p w14:paraId="5F5A685D" w14:textId="77777777" w:rsidR="009545C3" w:rsidRPr="00BD4C59" w:rsidRDefault="009545C3" w:rsidP="00F528C6">
            <w:pPr>
              <w:rPr>
                <w:rFonts w:ascii="Calibri" w:eastAsia="Times New Roman" w:hAnsi="Calibri" w:cs="Calibri"/>
                <w:color w:val="000000"/>
                <w:lang w:eastAsia="en-GB"/>
              </w:rPr>
            </w:pPr>
            <w:r w:rsidRPr="00BD4C59">
              <w:rPr>
                <w:rFonts w:ascii="Calibri" w:eastAsia="Times New Roman" w:hAnsi="Calibri" w:cs="Calibri"/>
                <w:color w:val="000000"/>
                <w:lang w:eastAsia="en-GB"/>
              </w:rPr>
              <w:t>% of T Secs maturing in 1 year</w:t>
            </w:r>
          </w:p>
        </w:tc>
        <w:tc>
          <w:tcPr>
            <w:tcW w:w="1250" w:type="dxa"/>
            <w:tcBorders>
              <w:left w:val="single" w:sz="4" w:space="0" w:color="auto"/>
              <w:right w:val="single" w:sz="4" w:space="0" w:color="auto"/>
            </w:tcBorders>
            <w:shd w:val="clear" w:color="auto" w:fill="auto"/>
            <w:noWrap/>
            <w:vAlign w:val="bottom"/>
            <w:hideMark/>
          </w:tcPr>
          <w:p w14:paraId="2A62AD46" w14:textId="77777777" w:rsidR="009545C3" w:rsidRPr="00BD4C59" w:rsidRDefault="009545C3" w:rsidP="00F528C6">
            <w:pPr>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Max. </w:t>
            </w:r>
            <w:r w:rsidRPr="00BD4C59">
              <w:rPr>
                <w:rFonts w:ascii="Calibri" w:eastAsia="Times New Roman" w:hAnsi="Calibri" w:cs="Calibri"/>
                <w:color w:val="000000"/>
                <w:lang w:eastAsia="en-GB"/>
              </w:rPr>
              <w:t>20%</w:t>
            </w:r>
          </w:p>
        </w:tc>
        <w:tc>
          <w:tcPr>
            <w:tcW w:w="1070" w:type="dxa"/>
            <w:tcBorders>
              <w:left w:val="single" w:sz="4" w:space="0" w:color="auto"/>
            </w:tcBorders>
            <w:shd w:val="clear" w:color="auto" w:fill="auto"/>
            <w:noWrap/>
            <w:vAlign w:val="bottom"/>
            <w:hideMark/>
          </w:tcPr>
          <w:p w14:paraId="269E2914"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16.3</w:t>
            </w:r>
          </w:p>
        </w:tc>
        <w:tc>
          <w:tcPr>
            <w:tcW w:w="1070" w:type="dxa"/>
            <w:shd w:val="clear" w:color="auto" w:fill="BFBFBF" w:themeFill="background1" w:themeFillShade="BF"/>
            <w:noWrap/>
            <w:vAlign w:val="bottom"/>
            <w:hideMark/>
          </w:tcPr>
          <w:p w14:paraId="1C9AA528"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22.9</w:t>
            </w:r>
          </w:p>
        </w:tc>
        <w:tc>
          <w:tcPr>
            <w:tcW w:w="960" w:type="dxa"/>
            <w:shd w:val="clear" w:color="auto" w:fill="auto"/>
            <w:noWrap/>
            <w:vAlign w:val="bottom"/>
            <w:hideMark/>
          </w:tcPr>
          <w:p w14:paraId="73BEAE8B"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17.1</w:t>
            </w:r>
          </w:p>
        </w:tc>
      </w:tr>
      <w:tr w:rsidR="009545C3" w:rsidRPr="00BD4C59" w14:paraId="1F82C231" w14:textId="77777777" w:rsidTr="00F528C6">
        <w:trPr>
          <w:trHeight w:val="300"/>
        </w:trPr>
        <w:tc>
          <w:tcPr>
            <w:tcW w:w="3000" w:type="dxa"/>
            <w:tcBorders>
              <w:right w:val="single" w:sz="4" w:space="0" w:color="auto"/>
            </w:tcBorders>
            <w:shd w:val="clear" w:color="auto" w:fill="auto"/>
            <w:noWrap/>
            <w:vAlign w:val="bottom"/>
            <w:hideMark/>
          </w:tcPr>
          <w:p w14:paraId="73B4B69A" w14:textId="77777777" w:rsidR="009545C3" w:rsidRPr="00BD4C59" w:rsidRDefault="009545C3" w:rsidP="00F528C6">
            <w:pPr>
              <w:rPr>
                <w:rFonts w:ascii="Calibri" w:eastAsia="Times New Roman" w:hAnsi="Calibri" w:cs="Calibri"/>
                <w:color w:val="000000"/>
                <w:lang w:eastAsia="en-GB"/>
              </w:rPr>
            </w:pPr>
            <w:r w:rsidRPr="00BD4C59">
              <w:rPr>
                <w:rFonts w:ascii="Calibri" w:eastAsia="Times New Roman" w:hAnsi="Calibri" w:cs="Calibri"/>
                <w:color w:val="000000"/>
                <w:lang w:eastAsia="en-GB"/>
              </w:rPr>
              <w:t>Share of fixed rate debt</w:t>
            </w:r>
            <w:r>
              <w:rPr>
                <w:rFonts w:ascii="Calibri" w:eastAsia="Times New Roman" w:hAnsi="Calibri" w:cs="Calibri"/>
                <w:color w:val="000000"/>
                <w:lang w:eastAsia="en-GB"/>
              </w:rPr>
              <w:t xml:space="preserve"> (%)</w:t>
            </w:r>
          </w:p>
        </w:tc>
        <w:tc>
          <w:tcPr>
            <w:tcW w:w="1250" w:type="dxa"/>
            <w:tcBorders>
              <w:left w:val="single" w:sz="4" w:space="0" w:color="auto"/>
              <w:right w:val="single" w:sz="4" w:space="0" w:color="auto"/>
            </w:tcBorders>
            <w:shd w:val="clear" w:color="auto" w:fill="auto"/>
            <w:noWrap/>
            <w:vAlign w:val="bottom"/>
            <w:hideMark/>
          </w:tcPr>
          <w:p w14:paraId="76CE39F0" w14:textId="77777777" w:rsidR="009545C3" w:rsidRPr="00BD4C59" w:rsidRDefault="009545C3" w:rsidP="00F528C6">
            <w:pPr>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Min. </w:t>
            </w:r>
            <w:r w:rsidRPr="00BD4C59">
              <w:rPr>
                <w:rFonts w:ascii="Calibri" w:eastAsia="Times New Roman" w:hAnsi="Calibri" w:cs="Calibri"/>
                <w:color w:val="000000"/>
                <w:lang w:eastAsia="en-GB"/>
              </w:rPr>
              <w:t>80%</w:t>
            </w:r>
          </w:p>
        </w:tc>
        <w:tc>
          <w:tcPr>
            <w:tcW w:w="1070" w:type="dxa"/>
            <w:tcBorders>
              <w:left w:val="single" w:sz="4" w:space="0" w:color="auto"/>
            </w:tcBorders>
            <w:shd w:val="clear" w:color="auto" w:fill="auto"/>
            <w:noWrap/>
            <w:vAlign w:val="bottom"/>
            <w:hideMark/>
          </w:tcPr>
          <w:p w14:paraId="6091A01A"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87.4</w:t>
            </w:r>
          </w:p>
        </w:tc>
        <w:tc>
          <w:tcPr>
            <w:tcW w:w="1070" w:type="dxa"/>
            <w:shd w:val="clear" w:color="auto" w:fill="auto"/>
            <w:noWrap/>
            <w:vAlign w:val="bottom"/>
            <w:hideMark/>
          </w:tcPr>
          <w:p w14:paraId="4DB7DF49"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87.5</w:t>
            </w:r>
          </w:p>
        </w:tc>
        <w:tc>
          <w:tcPr>
            <w:tcW w:w="960" w:type="dxa"/>
            <w:shd w:val="clear" w:color="auto" w:fill="auto"/>
            <w:noWrap/>
            <w:vAlign w:val="bottom"/>
            <w:hideMark/>
          </w:tcPr>
          <w:p w14:paraId="21FDC532"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89.5</w:t>
            </w:r>
          </w:p>
        </w:tc>
      </w:tr>
      <w:tr w:rsidR="009545C3" w:rsidRPr="00BD4C59" w14:paraId="5C07836D" w14:textId="77777777" w:rsidTr="00F528C6">
        <w:trPr>
          <w:trHeight w:val="300"/>
        </w:trPr>
        <w:tc>
          <w:tcPr>
            <w:tcW w:w="3000" w:type="dxa"/>
            <w:tcBorders>
              <w:right w:val="single" w:sz="4" w:space="0" w:color="auto"/>
            </w:tcBorders>
            <w:shd w:val="clear" w:color="auto" w:fill="auto"/>
            <w:noWrap/>
            <w:vAlign w:val="bottom"/>
            <w:hideMark/>
          </w:tcPr>
          <w:p w14:paraId="7660A006" w14:textId="77777777" w:rsidR="009545C3" w:rsidRPr="00BD4C59" w:rsidRDefault="009545C3" w:rsidP="00F528C6">
            <w:pPr>
              <w:rPr>
                <w:rFonts w:ascii="Calibri" w:eastAsia="Times New Roman" w:hAnsi="Calibri" w:cs="Calibri"/>
                <w:color w:val="000000"/>
                <w:lang w:eastAsia="en-GB"/>
              </w:rPr>
            </w:pPr>
            <w:r w:rsidRPr="00BD4C59">
              <w:rPr>
                <w:rFonts w:ascii="Calibri" w:eastAsia="Times New Roman" w:hAnsi="Calibri" w:cs="Calibri"/>
                <w:color w:val="000000"/>
                <w:lang w:eastAsia="en-GB"/>
              </w:rPr>
              <w:t>Share of domestic debt</w:t>
            </w:r>
            <w:r>
              <w:rPr>
                <w:rFonts w:ascii="Calibri" w:eastAsia="Times New Roman" w:hAnsi="Calibri" w:cs="Calibri"/>
                <w:color w:val="000000"/>
                <w:lang w:eastAsia="en-GB"/>
              </w:rPr>
              <w:t xml:space="preserve">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73E7F84B" w14:textId="77777777" w:rsidR="009545C3" w:rsidRPr="00BD4C59" w:rsidRDefault="009545C3" w:rsidP="00F528C6">
            <w:pPr>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Min. </w:t>
            </w:r>
            <w:r w:rsidRPr="00BD4C59">
              <w:rPr>
                <w:rFonts w:ascii="Calibri" w:eastAsia="Times New Roman" w:hAnsi="Calibri" w:cs="Calibri"/>
                <w:color w:val="000000"/>
                <w:lang w:eastAsia="en-GB"/>
              </w:rPr>
              <w:t>20%</w:t>
            </w:r>
          </w:p>
        </w:tc>
        <w:tc>
          <w:tcPr>
            <w:tcW w:w="1070" w:type="dxa"/>
            <w:tcBorders>
              <w:left w:val="single" w:sz="4" w:space="0" w:color="auto"/>
            </w:tcBorders>
            <w:shd w:val="clear" w:color="auto" w:fill="auto"/>
            <w:noWrap/>
            <w:vAlign w:val="bottom"/>
            <w:hideMark/>
          </w:tcPr>
          <w:p w14:paraId="252D47AA"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22.3</w:t>
            </w:r>
          </w:p>
        </w:tc>
        <w:tc>
          <w:tcPr>
            <w:tcW w:w="1070" w:type="dxa"/>
            <w:shd w:val="clear" w:color="auto" w:fill="auto"/>
            <w:noWrap/>
            <w:vAlign w:val="bottom"/>
            <w:hideMark/>
          </w:tcPr>
          <w:p w14:paraId="55230652"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20.9</w:t>
            </w:r>
          </w:p>
        </w:tc>
        <w:tc>
          <w:tcPr>
            <w:tcW w:w="960" w:type="dxa"/>
            <w:shd w:val="clear" w:color="000000" w:fill="FFFFFF"/>
            <w:noWrap/>
            <w:vAlign w:val="bottom"/>
            <w:hideMark/>
          </w:tcPr>
          <w:p w14:paraId="3BB64F28" w14:textId="77777777" w:rsidR="009545C3" w:rsidRPr="00BD4C59" w:rsidRDefault="009545C3" w:rsidP="00F528C6">
            <w:pPr>
              <w:jc w:val="right"/>
              <w:rPr>
                <w:rFonts w:ascii="Calibri" w:eastAsia="Times New Roman" w:hAnsi="Calibri" w:cs="Calibri"/>
                <w:color w:val="000000"/>
                <w:lang w:eastAsia="en-GB"/>
              </w:rPr>
            </w:pPr>
            <w:r w:rsidRPr="00BD4C59">
              <w:rPr>
                <w:rFonts w:ascii="Calibri" w:eastAsia="Times New Roman" w:hAnsi="Calibri" w:cs="Calibri"/>
                <w:color w:val="000000"/>
                <w:lang w:eastAsia="en-GB"/>
              </w:rPr>
              <w:t>16.55</w:t>
            </w:r>
          </w:p>
        </w:tc>
      </w:tr>
    </w:tbl>
    <w:p w14:paraId="2749DAE5" w14:textId="77777777" w:rsidR="009545C3" w:rsidRPr="00C266B1" w:rsidRDefault="009545C3" w:rsidP="009545C3">
      <w:pPr>
        <w:jc w:val="both"/>
        <w:rPr>
          <w:sz w:val="18"/>
          <w:szCs w:val="18"/>
        </w:rPr>
      </w:pPr>
      <w:r w:rsidRPr="00C266B1">
        <w:rPr>
          <w:sz w:val="18"/>
          <w:szCs w:val="18"/>
        </w:rPr>
        <w:t>Source: Annual Debt Reports</w:t>
      </w:r>
    </w:p>
    <w:p w14:paraId="575F450D" w14:textId="77777777" w:rsidR="009545C3" w:rsidRDefault="009545C3" w:rsidP="009545C3">
      <w:pPr>
        <w:pStyle w:val="ListParagraph"/>
        <w:ind w:left="360"/>
        <w:jc w:val="both"/>
      </w:pPr>
    </w:p>
    <w:p w14:paraId="7CE8F6F5" w14:textId="79261329" w:rsidR="009545C3" w:rsidRDefault="009545C3" w:rsidP="009545C3">
      <w:pPr>
        <w:pStyle w:val="ListParagraph"/>
        <w:numPr>
          <w:ilvl w:val="0"/>
          <w:numId w:val="3"/>
        </w:numPr>
        <w:jc w:val="both"/>
      </w:pPr>
      <w:r>
        <w:t>One of the strategic benchmarks related to share of domestic debt, based on residency criterion, tries to mimic the exposure to currency risks. However, given that holders of both domestic government securities and Eurobonds can change between residents and non-residents, the share of domestic debt can be difficult to target on an ex-post basis</w:t>
      </w:r>
      <w:r w:rsidR="001F31A9">
        <w:t xml:space="preserve"> and is outside the control of debt managers</w:t>
      </w:r>
      <w:r>
        <w:t xml:space="preserve">. </w:t>
      </w:r>
      <w:r w:rsidR="009C2031">
        <w:t>In contrast</w:t>
      </w:r>
      <w:r>
        <w:t xml:space="preserve">, the share of domestic currency </w:t>
      </w:r>
      <w:r w:rsidR="009C2031">
        <w:t xml:space="preserve">debt </w:t>
      </w:r>
      <w:r>
        <w:t xml:space="preserve">is a more explicit metrics to manage currency </w:t>
      </w:r>
      <w:proofErr w:type="gramStart"/>
      <w:r>
        <w:t>risk</w:t>
      </w:r>
      <w:r w:rsidR="009C2031">
        <w:t xml:space="preserve"> which</w:t>
      </w:r>
      <w:proofErr w:type="gramEnd"/>
      <w:r w:rsidR="009C2031">
        <w:t xml:space="preserve"> is under the control of debt mangers and is therefore widely used as a benchmark target in MTDS</w:t>
      </w:r>
      <w:r>
        <w:t xml:space="preserve">. It </w:t>
      </w:r>
      <w:proofErr w:type="gramStart"/>
      <w:r>
        <w:t>is therefore recommended</w:t>
      </w:r>
      <w:proofErr w:type="gramEnd"/>
      <w:r>
        <w:t xml:space="preserve"> to replace the benchmark on share of domestic debt with the share of AMD debt.</w:t>
      </w:r>
    </w:p>
    <w:p w14:paraId="10572325" w14:textId="77777777" w:rsidR="009545C3" w:rsidRDefault="009545C3" w:rsidP="009545C3">
      <w:pPr>
        <w:pStyle w:val="ListParagraph"/>
        <w:ind w:left="360"/>
        <w:jc w:val="both"/>
      </w:pPr>
    </w:p>
    <w:p w14:paraId="3C91B6DD" w14:textId="5CB9A923" w:rsidR="00571A0E" w:rsidRDefault="009545C3" w:rsidP="009545C3">
      <w:pPr>
        <w:pStyle w:val="ListParagraph"/>
        <w:numPr>
          <w:ilvl w:val="0"/>
          <w:numId w:val="3"/>
        </w:numPr>
        <w:jc w:val="both"/>
      </w:pPr>
      <w:r>
        <w:t>A key shortcoming of the effectiveness of the MTDS process is the de-facto delinking of external borrowings as part of the State Budget from the MTDS</w:t>
      </w:r>
      <w:r w:rsidR="009C2031">
        <w:t xml:space="preserve">. </w:t>
      </w:r>
      <w:r w:rsidR="00571A0E">
        <w:t xml:space="preserve">The updated MTDS </w:t>
      </w:r>
      <w:r w:rsidR="006A6B4E">
        <w:t>formulated</w:t>
      </w:r>
      <w:r w:rsidR="00FC402A">
        <w:t xml:space="preserve"> by the PDMD </w:t>
      </w:r>
      <w:r w:rsidR="006A6B4E">
        <w:t xml:space="preserve">in July every year </w:t>
      </w:r>
      <w:r w:rsidR="00571A0E">
        <w:t xml:space="preserve">provides medium-term projections for domestic and external debt for individual years within the context of the benchmark target, reflecting the adopted cost-risk trade-off for the debt portfolio. On the other hand, the State Budget </w:t>
      </w:r>
      <w:r w:rsidR="006A6B4E">
        <w:t>prepared in November every year</w:t>
      </w:r>
      <w:r w:rsidR="00571A0E">
        <w:t xml:space="preserve"> provides a</w:t>
      </w:r>
      <w:r w:rsidR="005409B3">
        <w:t xml:space="preserve"> detailed</w:t>
      </w:r>
      <w:r w:rsidR="00571A0E">
        <w:t xml:space="preserve"> </w:t>
      </w:r>
      <w:r>
        <w:t>annual plan for external borrowing in the form of external loans in line with credit availability from external creditors, mainly multilateral and bilateral creditors</w:t>
      </w:r>
      <w:r w:rsidR="009C2031">
        <w:t xml:space="preserve"> in the form of semi-concessional loans</w:t>
      </w:r>
      <w:r>
        <w:t>.</w:t>
      </w:r>
      <w:r w:rsidR="00FC402A">
        <w:t xml:space="preserve"> Such budgetary projections </w:t>
      </w:r>
      <w:proofErr w:type="gramStart"/>
      <w:r w:rsidR="005409B3">
        <w:t>are</w:t>
      </w:r>
      <w:r w:rsidR="00FC402A">
        <w:t xml:space="preserve"> undertaken</w:t>
      </w:r>
      <w:proofErr w:type="gramEnd"/>
      <w:r w:rsidR="00FC402A">
        <w:t xml:space="preserve"> by the Budget Department.</w:t>
      </w:r>
      <w:r>
        <w:t xml:space="preserve"> </w:t>
      </w:r>
      <w:r w:rsidR="00FC402A">
        <w:t xml:space="preserve">In doing so, the </w:t>
      </w:r>
      <w:r>
        <w:t xml:space="preserve">objective of maximizing external loans takes </w:t>
      </w:r>
      <w:proofErr w:type="gramStart"/>
      <w:r>
        <w:t>a precedence</w:t>
      </w:r>
      <w:proofErr w:type="gramEnd"/>
      <w:r>
        <w:t xml:space="preserve"> over the borrowing mix indicated by the MTDS, with which it deviates frequently and significantly</w:t>
      </w:r>
      <w:r w:rsidR="00FC402A">
        <w:t xml:space="preserve"> including the </w:t>
      </w:r>
      <w:r w:rsidR="005409B3">
        <w:t xml:space="preserve">immediate </w:t>
      </w:r>
      <w:r w:rsidR="00FC402A">
        <w:t>first year of the forecast</w:t>
      </w:r>
      <w:r>
        <w:t xml:space="preserve">. </w:t>
      </w:r>
      <w:r w:rsidR="00FC402A">
        <w:t xml:space="preserve">External resource mobilization in the form of loans </w:t>
      </w:r>
      <w:proofErr w:type="gramStart"/>
      <w:r w:rsidR="00FC402A">
        <w:t>is decided</w:t>
      </w:r>
      <w:proofErr w:type="gramEnd"/>
      <w:r w:rsidR="00FC402A">
        <w:t xml:space="preserve"> by the senior management in the </w:t>
      </w:r>
      <w:r w:rsidR="006450FE">
        <w:t>Government</w:t>
      </w:r>
      <w:r w:rsidR="00FC402A">
        <w:t xml:space="preserve"> and does not necessarily reflect the MTDS priorities or considerations of cost-risk trade-off for the debt portfolio. </w:t>
      </w:r>
      <w:r w:rsidR="00571A0E">
        <w:t>The MTDS therefore serves as a guiding tool for domestic borrowings only, which constitutes a small portion of the debt portfolio</w:t>
      </w:r>
      <w:r w:rsidR="00FC402A">
        <w:t xml:space="preserve">, thereby </w:t>
      </w:r>
      <w:r w:rsidR="005409B3">
        <w:t xml:space="preserve">diminishing effectiveness and credibility of </w:t>
      </w:r>
      <w:r w:rsidR="00FC402A">
        <w:t>the MTDS as a</w:t>
      </w:r>
      <w:r w:rsidR="005409B3">
        <w:t xml:space="preserve"> strategic planning tool. </w:t>
      </w:r>
    </w:p>
    <w:p w14:paraId="3D211274" w14:textId="77777777" w:rsidR="00571A0E" w:rsidRDefault="00571A0E" w:rsidP="009C00DC">
      <w:pPr>
        <w:pStyle w:val="ListParagraph"/>
      </w:pPr>
    </w:p>
    <w:p w14:paraId="79EC0BF1" w14:textId="0CC2B1D3" w:rsidR="009545C3" w:rsidRDefault="009545C3" w:rsidP="009545C3">
      <w:pPr>
        <w:pStyle w:val="ListParagraph"/>
        <w:numPr>
          <w:ilvl w:val="0"/>
          <w:numId w:val="3"/>
        </w:numPr>
        <w:jc w:val="both"/>
      </w:pPr>
      <w:r>
        <w:t xml:space="preserve">To enhance the effectiveness and credibility of the MTDS to guide future borrowings, it will be imperative to integrate external borrowing decisions with the MTDS guidance. </w:t>
      </w:r>
      <w:r w:rsidR="006A6B4E">
        <w:t xml:space="preserve">To minimize the difference between MTDS and State Budget projections on the borrowing mix, a starting point </w:t>
      </w:r>
      <w:r w:rsidR="005409B3">
        <w:t xml:space="preserve">involves the synchronization of the projections for external borrowing envelope between the MTDS and the State Budget by eliminating their lead/lag in its formulation. This would warrant moving the timing for MTDS formulation close to the State Budget preparation. A secondary order for maintaining consistency </w:t>
      </w:r>
      <w:r w:rsidR="00455BD8">
        <w:t xml:space="preserve">in the borrowing mix </w:t>
      </w:r>
      <w:r w:rsidR="005409B3">
        <w:t xml:space="preserve">between the MTDS and State Budget would require </w:t>
      </w:r>
      <w:r w:rsidR="00C27D23">
        <w:t xml:space="preserve">restricting borrowing decisions </w:t>
      </w:r>
      <w:proofErr w:type="gramStart"/>
      <w:r w:rsidR="00C27D23">
        <w:t>to</w:t>
      </w:r>
      <w:r w:rsidR="00455BD8">
        <w:t xml:space="preserve"> closely match</w:t>
      </w:r>
      <w:proofErr w:type="gramEnd"/>
      <w:r w:rsidR="00455BD8">
        <w:t xml:space="preserve"> the adopted MTDS targets. This would be especially relevant when the balance of payments position does not act as binding constraint for funding though external borrowings. This would enable debt managers to borrow based on the preferred MTDS composition. A final requirement to ensure that the MTDS serves as the primary tool for borrowing decisions is to provide a set of key guidelines prepared by the PDMD emanating from the MTDS that serves as a guiding tool to the front offices (departments / line ministries)</w:t>
      </w:r>
      <w:r w:rsidR="006450FE">
        <w:t xml:space="preserve"> for contracting external loans. Adherence to such guidelines will be imperative to </w:t>
      </w:r>
      <w:r w:rsidR="006450FE">
        <w:lastRenderedPageBreak/>
        <w:t xml:space="preserve">maintain consistency between MTDS and actual borrowing decisions. Such guidelines </w:t>
      </w:r>
      <w:proofErr w:type="gramStart"/>
      <w:r w:rsidR="006450FE">
        <w:t>could be provided</w:t>
      </w:r>
      <w:proofErr w:type="gramEnd"/>
      <w:r w:rsidR="006450FE">
        <w:t xml:space="preserve"> based on both quantitative parameters and qualitative factors. </w:t>
      </w:r>
      <w:r w:rsidR="00455BD8">
        <w:t xml:space="preserve">   </w:t>
      </w:r>
      <w:r w:rsidR="00C27D23">
        <w:t xml:space="preserve"> </w:t>
      </w:r>
      <w:r w:rsidR="005409B3">
        <w:t xml:space="preserve"> </w:t>
      </w:r>
      <w:r>
        <w:t xml:space="preserve">   </w:t>
      </w:r>
    </w:p>
    <w:p w14:paraId="6F932405" w14:textId="77777777" w:rsidR="009545C3" w:rsidRDefault="009545C3" w:rsidP="009545C3">
      <w:pPr>
        <w:pStyle w:val="ListParagraph"/>
        <w:ind w:left="360"/>
        <w:jc w:val="both"/>
      </w:pPr>
    </w:p>
    <w:p w14:paraId="7AD9BD3D" w14:textId="77777777" w:rsidR="009545C3" w:rsidRDefault="009545C3" w:rsidP="009545C3">
      <w:pPr>
        <w:pStyle w:val="ListParagraph"/>
        <w:numPr>
          <w:ilvl w:val="0"/>
          <w:numId w:val="3"/>
        </w:numPr>
        <w:jc w:val="both"/>
      </w:pPr>
      <w:r>
        <w:t xml:space="preserve">There is scope to strengthen the analysis in MTDS through more robust inputs. The baseline scenario projects annual depreciation of 1-2 % for AMD against USD during 2018-20. This could appear to be on the lower side especially when current account deficit </w:t>
      </w:r>
      <w:proofErr w:type="gramStart"/>
      <w:r>
        <w:t>is expected</w:t>
      </w:r>
      <w:proofErr w:type="gramEnd"/>
      <w:r>
        <w:t xml:space="preserve"> to widen, thereby underestimating exchange rate risks. For interest rate projections under baseline scenario, both domestic and international yields </w:t>
      </w:r>
      <w:proofErr w:type="gramStart"/>
      <w:r>
        <w:t>are based on the prevailing rates and kept constant throughout the horizon</w:t>
      </w:r>
      <w:proofErr w:type="gramEnd"/>
      <w:r>
        <w:t xml:space="preserve">. The scenario does not incorporate the pending hike in US interest rates. Projections of future exchange rates and yields based on macroeconomic and market outlook will result in more robust cost-risk trade-off analysis.  </w:t>
      </w:r>
    </w:p>
    <w:p w14:paraId="0E3DBCE2" w14:textId="77777777" w:rsidR="009545C3" w:rsidRDefault="009545C3" w:rsidP="009545C3">
      <w:pPr>
        <w:pStyle w:val="ListParagraph"/>
        <w:ind w:left="360"/>
        <w:jc w:val="both"/>
      </w:pPr>
    </w:p>
    <w:p w14:paraId="7183D6FB" w14:textId="77777777" w:rsidR="009545C3" w:rsidRDefault="009545C3" w:rsidP="00466D0E">
      <w:pPr>
        <w:pStyle w:val="Topic3"/>
      </w:pPr>
      <w:bookmarkStart w:id="10" w:name="_Toc506537584"/>
      <w:r w:rsidRPr="00087C83">
        <w:t>Strategic Issues</w:t>
      </w:r>
      <w:bookmarkEnd w:id="10"/>
    </w:p>
    <w:p w14:paraId="69DB53D1" w14:textId="77777777" w:rsidR="009545C3" w:rsidRPr="00087C83" w:rsidRDefault="009545C3" w:rsidP="009545C3">
      <w:pPr>
        <w:jc w:val="both"/>
        <w:rPr>
          <w:b/>
        </w:rPr>
      </w:pPr>
    </w:p>
    <w:p w14:paraId="1E2B63DA" w14:textId="6E7E3B4B" w:rsidR="009545C3" w:rsidRDefault="009545C3" w:rsidP="009545C3">
      <w:pPr>
        <w:pStyle w:val="ListParagraph"/>
        <w:numPr>
          <w:ilvl w:val="0"/>
          <w:numId w:val="3"/>
        </w:numPr>
        <w:jc w:val="both"/>
      </w:pPr>
      <w:r>
        <w:t xml:space="preserve">The MTDS recognizes the high degree of exchange rate risk embodied in the debt portfolio and therefore views that it </w:t>
      </w:r>
      <w:r w:rsidRPr="000E6A6A">
        <w:rPr>
          <w:rFonts w:cs="Arial"/>
        </w:rPr>
        <w:t>should reinforce continuous development of the domestic debt market</w:t>
      </w:r>
      <w:r>
        <w:rPr>
          <w:rFonts w:cs="Arial"/>
        </w:rPr>
        <w:t>. However, c</w:t>
      </w:r>
      <w:r>
        <w:t xml:space="preserve">onservative estimates of planned net domestic financing as contained in successive MTDS documents reflects the </w:t>
      </w:r>
      <w:r w:rsidR="00172D96">
        <w:t xml:space="preserve">perceived </w:t>
      </w:r>
      <w:r>
        <w:t>constraint with absorptive capacity of the domestic market</w:t>
      </w:r>
      <w:r w:rsidR="00172D96">
        <w:t xml:space="preserve"> associated with undiversified investor base as also the dollarization of the financial system</w:t>
      </w:r>
      <w:r>
        <w:t>. Consequently, the strategy estimates the share of domestic debt to rise marginally to 21.2 percent of total Government debt thereby still exposing the portfolio to significant exchange rate risks.</w:t>
      </w:r>
    </w:p>
    <w:p w14:paraId="514E02C3" w14:textId="77777777" w:rsidR="00B148B3" w:rsidRDefault="00B148B3" w:rsidP="00B148B3">
      <w:pPr>
        <w:pStyle w:val="ListParagraph"/>
        <w:ind w:left="360"/>
        <w:jc w:val="both"/>
      </w:pPr>
    </w:p>
    <w:p w14:paraId="11306312" w14:textId="6176DC1D" w:rsidR="00B148B3" w:rsidRDefault="00B148B3" w:rsidP="00B148B3">
      <w:pPr>
        <w:pStyle w:val="ListParagraph"/>
        <w:numPr>
          <w:ilvl w:val="0"/>
          <w:numId w:val="3"/>
        </w:numPr>
        <w:jc w:val="both"/>
      </w:pPr>
      <w:r>
        <w:t>An alternative strategy in the MTDS analysis depicting aggressive domestic debt issuance remains marginally inferior to the current strategy mix in terms of cost-risk trade-off</w:t>
      </w:r>
      <w:r>
        <w:rPr>
          <w:rStyle w:val="FootnoteReference"/>
        </w:rPr>
        <w:footnoteReference w:id="13"/>
      </w:r>
      <w:r>
        <w:t>. The share of foreign currency debt would have reduced to 75.1 percent of total debt by 2020 compared to a share of 80.3 percent for the existing strategy (Table 6). For the aggressive domestic issuance strategy, the debt to GDP ratio turns out to be higher by less than 0.6 percent of GDP under both the baseline and stress test scenarios. In terms of interest to GDP ratio, the aggressive strategy turns out to be higher by less than 0.3 percent of GDP. There will be minimal impact on refinancing risk with the share of debt maturing in one year increasing by 0.6 percent of total debt by 2020</w:t>
      </w:r>
      <w:r>
        <w:rPr>
          <w:rStyle w:val="FootnoteReference"/>
        </w:rPr>
        <w:footnoteReference w:id="14"/>
      </w:r>
      <w:r>
        <w:t xml:space="preserve">.   </w:t>
      </w:r>
    </w:p>
    <w:p w14:paraId="01A25D65" w14:textId="77777777" w:rsidR="009545C3" w:rsidRDefault="009545C3" w:rsidP="009545C3">
      <w:pPr>
        <w:pStyle w:val="ListParagraph"/>
        <w:ind w:left="360"/>
        <w:jc w:val="both"/>
      </w:pPr>
    </w:p>
    <w:p w14:paraId="4CE58BD6" w14:textId="77777777" w:rsidR="009545C3" w:rsidRDefault="009545C3" w:rsidP="009545C3">
      <w:pPr>
        <w:pStyle w:val="ListParagraph"/>
        <w:ind w:left="360"/>
        <w:jc w:val="both"/>
      </w:pPr>
      <w:r>
        <w:t xml:space="preserve">Table 6: Performance of Aggressive Domestic Debt Issuance vis-à-vis Existing Strategy  </w:t>
      </w:r>
    </w:p>
    <w:tbl>
      <w:tblPr>
        <w:tblW w:w="5000" w:type="pct"/>
        <w:tblLayout w:type="fixed"/>
        <w:tblLook w:val="04A0" w:firstRow="1" w:lastRow="0" w:firstColumn="1" w:lastColumn="0" w:noHBand="0" w:noVBand="1"/>
      </w:tblPr>
      <w:tblGrid>
        <w:gridCol w:w="2904"/>
        <w:gridCol w:w="3083"/>
        <w:gridCol w:w="1616"/>
        <w:gridCol w:w="1973"/>
      </w:tblGrid>
      <w:tr w:rsidR="009545C3" w:rsidRPr="00BE4B1A" w14:paraId="07B1C9E1" w14:textId="77777777" w:rsidTr="00F528C6">
        <w:trPr>
          <w:trHeight w:val="255"/>
        </w:trPr>
        <w:tc>
          <w:tcPr>
            <w:tcW w:w="1516" w:type="pct"/>
            <w:tcBorders>
              <w:top w:val="single" w:sz="4" w:space="0" w:color="auto"/>
              <w:left w:val="single" w:sz="4" w:space="0" w:color="auto"/>
              <w:bottom w:val="nil"/>
              <w:right w:val="nil"/>
            </w:tcBorders>
            <w:shd w:val="clear" w:color="000000" w:fill="D9D9D9"/>
            <w:noWrap/>
            <w:vAlign w:val="center"/>
            <w:hideMark/>
          </w:tcPr>
          <w:p w14:paraId="1D3267AA" w14:textId="77777777" w:rsidR="009545C3" w:rsidRPr="00BE4B1A" w:rsidRDefault="009545C3" w:rsidP="00F528C6">
            <w:pPr>
              <w:jc w:val="cente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Risk Indicators</w:t>
            </w:r>
          </w:p>
        </w:tc>
        <w:tc>
          <w:tcPr>
            <w:tcW w:w="1610" w:type="pct"/>
            <w:tcBorders>
              <w:top w:val="single" w:sz="4" w:space="0" w:color="auto"/>
              <w:left w:val="nil"/>
              <w:bottom w:val="nil"/>
              <w:right w:val="single" w:sz="4" w:space="0" w:color="auto"/>
            </w:tcBorders>
            <w:shd w:val="clear" w:color="000000" w:fill="D9D9D9"/>
            <w:noWrap/>
            <w:vAlign w:val="center"/>
            <w:hideMark/>
          </w:tcPr>
          <w:p w14:paraId="31BF984F" w14:textId="77777777" w:rsidR="009545C3" w:rsidRPr="00BE4B1A" w:rsidRDefault="009545C3" w:rsidP="00F528C6">
            <w:pPr>
              <w:jc w:val="cente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874" w:type="pct"/>
            <w:gridSpan w:val="2"/>
            <w:tcBorders>
              <w:top w:val="single" w:sz="4" w:space="0" w:color="auto"/>
              <w:left w:val="single" w:sz="4" w:space="0" w:color="auto"/>
              <w:bottom w:val="single" w:sz="4" w:space="0" w:color="auto"/>
              <w:right w:val="nil"/>
            </w:tcBorders>
            <w:shd w:val="clear" w:color="000000" w:fill="366092"/>
            <w:noWrap/>
            <w:vAlign w:val="bottom"/>
            <w:hideMark/>
          </w:tcPr>
          <w:p w14:paraId="1E42E757" w14:textId="77777777" w:rsidR="009545C3" w:rsidRPr="00BE4B1A" w:rsidRDefault="009545C3" w:rsidP="00F528C6">
            <w:pPr>
              <w:jc w:val="center"/>
              <w:rPr>
                <w:rFonts w:ascii="Calibri" w:eastAsia="Times New Roman" w:hAnsi="Calibri" w:cs="Calibri"/>
                <w:color w:val="FFFFFF"/>
                <w:sz w:val="20"/>
                <w:szCs w:val="20"/>
                <w:lang w:eastAsia="en-GB"/>
              </w:rPr>
            </w:pPr>
            <w:r w:rsidRPr="00BE4B1A">
              <w:rPr>
                <w:rFonts w:ascii="Calibri" w:eastAsia="Times New Roman" w:hAnsi="Calibri" w:cs="Calibri"/>
                <w:color w:val="FFFFFF"/>
                <w:sz w:val="20"/>
                <w:szCs w:val="20"/>
                <w:lang w:eastAsia="en-GB"/>
              </w:rPr>
              <w:t>As at end 2020</w:t>
            </w:r>
          </w:p>
        </w:tc>
      </w:tr>
      <w:tr w:rsidR="009545C3" w:rsidRPr="00BE4B1A" w14:paraId="13B1DB41" w14:textId="77777777" w:rsidTr="00F528C6">
        <w:trPr>
          <w:trHeight w:val="255"/>
        </w:trPr>
        <w:tc>
          <w:tcPr>
            <w:tcW w:w="1516" w:type="pct"/>
            <w:tcBorders>
              <w:top w:val="nil"/>
              <w:left w:val="single" w:sz="4" w:space="0" w:color="auto"/>
              <w:bottom w:val="single" w:sz="4" w:space="0" w:color="auto"/>
              <w:right w:val="nil"/>
            </w:tcBorders>
            <w:shd w:val="clear" w:color="000000" w:fill="D9D9D9"/>
            <w:noWrap/>
            <w:vAlign w:val="center"/>
            <w:hideMark/>
          </w:tcPr>
          <w:p w14:paraId="4A9A64F9" w14:textId="77777777" w:rsidR="009545C3" w:rsidRPr="00BE4B1A" w:rsidRDefault="009545C3" w:rsidP="00F528C6">
            <w:pPr>
              <w:jc w:val="cente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nil"/>
              <w:left w:val="nil"/>
              <w:bottom w:val="single" w:sz="4" w:space="0" w:color="auto"/>
              <w:right w:val="single" w:sz="4" w:space="0" w:color="auto"/>
            </w:tcBorders>
            <w:shd w:val="clear" w:color="000000" w:fill="D9D9D9"/>
            <w:noWrap/>
            <w:vAlign w:val="center"/>
            <w:hideMark/>
          </w:tcPr>
          <w:p w14:paraId="2020930E" w14:textId="77777777" w:rsidR="009545C3" w:rsidRPr="00BE4B1A" w:rsidRDefault="009545C3" w:rsidP="00F528C6">
            <w:pPr>
              <w:jc w:val="cente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844" w:type="pct"/>
            <w:tcBorders>
              <w:top w:val="nil"/>
              <w:left w:val="nil"/>
              <w:bottom w:val="single" w:sz="4" w:space="0" w:color="auto"/>
              <w:right w:val="single" w:sz="4" w:space="0" w:color="auto"/>
            </w:tcBorders>
            <w:shd w:val="clear" w:color="000000" w:fill="D9D9D9"/>
            <w:noWrap/>
            <w:vAlign w:val="bottom"/>
            <w:hideMark/>
          </w:tcPr>
          <w:p w14:paraId="1CB63776" w14:textId="77777777" w:rsidR="009545C3" w:rsidRPr="00BE4B1A" w:rsidRDefault="009545C3" w:rsidP="00F528C6">
            <w:pPr>
              <w:rPr>
                <w:rFonts w:ascii="Calibri" w:eastAsia="Times New Roman" w:hAnsi="Calibri" w:cs="Calibri"/>
                <w:sz w:val="20"/>
                <w:szCs w:val="20"/>
                <w:lang w:eastAsia="en-GB"/>
              </w:rPr>
            </w:pPr>
            <w:r>
              <w:rPr>
                <w:rFonts w:ascii="Calibri" w:eastAsia="Times New Roman" w:hAnsi="Calibri" w:cs="Calibri"/>
                <w:sz w:val="20"/>
                <w:szCs w:val="20"/>
                <w:lang w:eastAsia="en-GB"/>
              </w:rPr>
              <w:t>Existing Strategy</w:t>
            </w:r>
          </w:p>
        </w:tc>
        <w:tc>
          <w:tcPr>
            <w:tcW w:w="1030" w:type="pct"/>
            <w:tcBorders>
              <w:top w:val="nil"/>
              <w:left w:val="nil"/>
              <w:bottom w:val="single" w:sz="4" w:space="0" w:color="auto"/>
              <w:right w:val="single" w:sz="4" w:space="0" w:color="auto"/>
            </w:tcBorders>
            <w:shd w:val="clear" w:color="000000" w:fill="D9D9D9"/>
            <w:noWrap/>
            <w:vAlign w:val="bottom"/>
            <w:hideMark/>
          </w:tcPr>
          <w:p w14:paraId="157A6643" w14:textId="77777777" w:rsidR="009545C3" w:rsidRPr="00BE4B1A" w:rsidRDefault="009545C3" w:rsidP="00F528C6">
            <w:pPr>
              <w:rPr>
                <w:rFonts w:ascii="Calibri" w:eastAsia="Times New Roman" w:hAnsi="Calibri" w:cs="Calibri"/>
                <w:sz w:val="20"/>
                <w:szCs w:val="20"/>
                <w:lang w:eastAsia="en-GB"/>
              </w:rPr>
            </w:pPr>
            <w:r>
              <w:rPr>
                <w:rFonts w:ascii="Calibri" w:eastAsia="Times New Roman" w:hAnsi="Calibri" w:cs="Calibri"/>
                <w:sz w:val="20"/>
                <w:szCs w:val="20"/>
                <w:lang w:eastAsia="en-GB"/>
              </w:rPr>
              <w:t>Aggressive Domestic Debt Strategy</w:t>
            </w:r>
          </w:p>
        </w:tc>
      </w:tr>
      <w:tr w:rsidR="009545C3" w:rsidRPr="00BE4B1A" w14:paraId="0600B7F7" w14:textId="77777777" w:rsidTr="00F528C6">
        <w:trPr>
          <w:trHeight w:val="255"/>
        </w:trPr>
        <w:tc>
          <w:tcPr>
            <w:tcW w:w="1516" w:type="pct"/>
            <w:tcBorders>
              <w:top w:val="nil"/>
              <w:left w:val="single" w:sz="4" w:space="0" w:color="auto"/>
              <w:bottom w:val="single" w:sz="4" w:space="0" w:color="auto"/>
              <w:right w:val="nil"/>
            </w:tcBorders>
            <w:shd w:val="clear" w:color="000000" w:fill="FFFFFF"/>
            <w:noWrap/>
            <w:vAlign w:val="bottom"/>
            <w:hideMark/>
          </w:tcPr>
          <w:p w14:paraId="293507F5"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Nominal debt as % of GDP</w:t>
            </w:r>
          </w:p>
        </w:tc>
        <w:tc>
          <w:tcPr>
            <w:tcW w:w="1610" w:type="pct"/>
            <w:tcBorders>
              <w:top w:val="nil"/>
              <w:left w:val="nil"/>
              <w:bottom w:val="single" w:sz="4" w:space="0" w:color="auto"/>
              <w:right w:val="single" w:sz="4" w:space="0" w:color="auto"/>
            </w:tcBorders>
            <w:shd w:val="clear" w:color="000000" w:fill="FFFFFF"/>
            <w:noWrap/>
            <w:vAlign w:val="bottom"/>
            <w:hideMark/>
          </w:tcPr>
          <w:p w14:paraId="727F1672"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844" w:type="pct"/>
            <w:tcBorders>
              <w:top w:val="nil"/>
              <w:left w:val="nil"/>
              <w:bottom w:val="single" w:sz="4" w:space="0" w:color="auto"/>
              <w:right w:val="single" w:sz="4" w:space="0" w:color="auto"/>
            </w:tcBorders>
            <w:shd w:val="clear" w:color="auto" w:fill="auto"/>
            <w:noWrap/>
            <w:vAlign w:val="bottom"/>
            <w:hideMark/>
          </w:tcPr>
          <w:p w14:paraId="108D0875"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50.8</w:t>
            </w:r>
          </w:p>
        </w:tc>
        <w:tc>
          <w:tcPr>
            <w:tcW w:w="1030" w:type="pct"/>
            <w:tcBorders>
              <w:top w:val="nil"/>
              <w:left w:val="nil"/>
              <w:bottom w:val="single" w:sz="4" w:space="0" w:color="auto"/>
              <w:right w:val="single" w:sz="4" w:space="0" w:color="auto"/>
            </w:tcBorders>
            <w:shd w:val="clear" w:color="auto" w:fill="auto"/>
            <w:noWrap/>
            <w:vAlign w:val="bottom"/>
            <w:hideMark/>
          </w:tcPr>
          <w:p w14:paraId="0D8A197E"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51.1</w:t>
            </w:r>
          </w:p>
        </w:tc>
      </w:tr>
      <w:tr w:rsidR="009545C3" w:rsidRPr="00BE4B1A" w14:paraId="219A6623" w14:textId="77777777" w:rsidTr="00F528C6">
        <w:trPr>
          <w:trHeight w:val="255"/>
        </w:trPr>
        <w:tc>
          <w:tcPr>
            <w:tcW w:w="1516" w:type="pct"/>
            <w:tcBorders>
              <w:top w:val="nil"/>
              <w:left w:val="single" w:sz="4" w:space="0" w:color="auto"/>
              <w:bottom w:val="single" w:sz="4" w:space="0" w:color="auto"/>
              <w:right w:val="nil"/>
            </w:tcBorders>
            <w:shd w:val="clear" w:color="000000" w:fill="FFFFFF"/>
            <w:noWrap/>
            <w:vAlign w:val="bottom"/>
            <w:hideMark/>
          </w:tcPr>
          <w:p w14:paraId="649E3341"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Present value debt as % of GDP</w:t>
            </w:r>
          </w:p>
        </w:tc>
        <w:tc>
          <w:tcPr>
            <w:tcW w:w="1610" w:type="pct"/>
            <w:tcBorders>
              <w:top w:val="nil"/>
              <w:left w:val="nil"/>
              <w:bottom w:val="single" w:sz="4" w:space="0" w:color="auto"/>
              <w:right w:val="single" w:sz="4" w:space="0" w:color="auto"/>
            </w:tcBorders>
            <w:shd w:val="clear" w:color="000000" w:fill="FFFFFF"/>
            <w:noWrap/>
            <w:vAlign w:val="bottom"/>
            <w:hideMark/>
          </w:tcPr>
          <w:p w14:paraId="24212B1E"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844" w:type="pct"/>
            <w:tcBorders>
              <w:top w:val="nil"/>
              <w:left w:val="nil"/>
              <w:bottom w:val="single" w:sz="4" w:space="0" w:color="auto"/>
              <w:right w:val="single" w:sz="4" w:space="0" w:color="auto"/>
            </w:tcBorders>
            <w:shd w:val="clear" w:color="auto" w:fill="auto"/>
            <w:noWrap/>
            <w:vAlign w:val="bottom"/>
            <w:hideMark/>
          </w:tcPr>
          <w:p w14:paraId="277FE3F5"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49.6</w:t>
            </w:r>
          </w:p>
        </w:tc>
        <w:tc>
          <w:tcPr>
            <w:tcW w:w="1030" w:type="pct"/>
            <w:tcBorders>
              <w:top w:val="nil"/>
              <w:left w:val="nil"/>
              <w:bottom w:val="single" w:sz="4" w:space="0" w:color="auto"/>
              <w:right w:val="single" w:sz="4" w:space="0" w:color="auto"/>
            </w:tcBorders>
            <w:shd w:val="clear" w:color="auto" w:fill="auto"/>
            <w:noWrap/>
            <w:vAlign w:val="bottom"/>
            <w:hideMark/>
          </w:tcPr>
          <w:p w14:paraId="70590179"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55.3</w:t>
            </w:r>
          </w:p>
        </w:tc>
      </w:tr>
      <w:tr w:rsidR="009545C3" w:rsidRPr="00BE4B1A" w14:paraId="56D95694" w14:textId="77777777" w:rsidTr="00F528C6">
        <w:trPr>
          <w:trHeight w:val="255"/>
        </w:trPr>
        <w:tc>
          <w:tcPr>
            <w:tcW w:w="1516" w:type="pct"/>
            <w:tcBorders>
              <w:top w:val="nil"/>
              <w:left w:val="single" w:sz="4" w:space="0" w:color="auto"/>
              <w:bottom w:val="nil"/>
              <w:right w:val="nil"/>
            </w:tcBorders>
            <w:shd w:val="clear" w:color="000000" w:fill="FFFFFF"/>
            <w:noWrap/>
            <w:vAlign w:val="bottom"/>
            <w:hideMark/>
          </w:tcPr>
          <w:p w14:paraId="3B4D04D6"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Interest payment as % of GDP</w:t>
            </w:r>
          </w:p>
        </w:tc>
        <w:tc>
          <w:tcPr>
            <w:tcW w:w="1610" w:type="pct"/>
            <w:tcBorders>
              <w:top w:val="nil"/>
              <w:left w:val="nil"/>
              <w:bottom w:val="nil"/>
              <w:right w:val="single" w:sz="4" w:space="0" w:color="auto"/>
            </w:tcBorders>
            <w:shd w:val="clear" w:color="000000" w:fill="FFFFFF"/>
            <w:noWrap/>
            <w:vAlign w:val="bottom"/>
            <w:hideMark/>
          </w:tcPr>
          <w:p w14:paraId="14BF6175"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844" w:type="pct"/>
            <w:tcBorders>
              <w:top w:val="nil"/>
              <w:left w:val="nil"/>
              <w:bottom w:val="nil"/>
              <w:right w:val="single" w:sz="4" w:space="0" w:color="auto"/>
            </w:tcBorders>
            <w:shd w:val="clear" w:color="auto" w:fill="auto"/>
            <w:noWrap/>
            <w:vAlign w:val="bottom"/>
            <w:hideMark/>
          </w:tcPr>
          <w:p w14:paraId="0D0A8592"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2.2</w:t>
            </w:r>
          </w:p>
        </w:tc>
        <w:tc>
          <w:tcPr>
            <w:tcW w:w="1030" w:type="pct"/>
            <w:tcBorders>
              <w:top w:val="nil"/>
              <w:left w:val="nil"/>
              <w:bottom w:val="nil"/>
              <w:right w:val="single" w:sz="4" w:space="0" w:color="auto"/>
            </w:tcBorders>
            <w:shd w:val="clear" w:color="auto" w:fill="auto"/>
            <w:noWrap/>
            <w:vAlign w:val="bottom"/>
            <w:hideMark/>
          </w:tcPr>
          <w:p w14:paraId="67B2F120"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2.4</w:t>
            </w:r>
          </w:p>
        </w:tc>
      </w:tr>
      <w:tr w:rsidR="009545C3" w:rsidRPr="00BE4B1A" w14:paraId="083453D8" w14:textId="77777777" w:rsidTr="00F528C6">
        <w:trPr>
          <w:trHeight w:val="270"/>
        </w:trPr>
        <w:tc>
          <w:tcPr>
            <w:tcW w:w="1516" w:type="pct"/>
            <w:tcBorders>
              <w:top w:val="single" w:sz="4" w:space="0" w:color="auto"/>
              <w:left w:val="single" w:sz="4" w:space="0" w:color="auto"/>
              <w:bottom w:val="double" w:sz="6" w:space="0" w:color="auto"/>
              <w:right w:val="nil"/>
            </w:tcBorders>
            <w:shd w:val="clear" w:color="000000" w:fill="FFFFFF"/>
            <w:noWrap/>
            <w:vAlign w:val="bottom"/>
            <w:hideMark/>
          </w:tcPr>
          <w:p w14:paraId="6ADB5291"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Implied interest rate (%)</w:t>
            </w:r>
          </w:p>
        </w:tc>
        <w:tc>
          <w:tcPr>
            <w:tcW w:w="1610" w:type="pct"/>
            <w:tcBorders>
              <w:top w:val="single" w:sz="4" w:space="0" w:color="auto"/>
              <w:left w:val="nil"/>
              <w:bottom w:val="double" w:sz="6" w:space="0" w:color="auto"/>
              <w:right w:val="single" w:sz="4" w:space="0" w:color="auto"/>
            </w:tcBorders>
            <w:shd w:val="clear" w:color="000000" w:fill="FFFFFF"/>
            <w:noWrap/>
            <w:vAlign w:val="bottom"/>
            <w:hideMark/>
          </w:tcPr>
          <w:p w14:paraId="7AFB669B"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844" w:type="pct"/>
            <w:tcBorders>
              <w:top w:val="single" w:sz="4" w:space="0" w:color="auto"/>
              <w:left w:val="nil"/>
              <w:bottom w:val="double" w:sz="6" w:space="0" w:color="auto"/>
              <w:right w:val="single" w:sz="4" w:space="0" w:color="auto"/>
            </w:tcBorders>
            <w:shd w:val="clear" w:color="auto" w:fill="auto"/>
            <w:noWrap/>
            <w:vAlign w:val="bottom"/>
            <w:hideMark/>
          </w:tcPr>
          <w:p w14:paraId="199C31BC"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4.7</w:t>
            </w:r>
          </w:p>
        </w:tc>
        <w:tc>
          <w:tcPr>
            <w:tcW w:w="1030" w:type="pct"/>
            <w:tcBorders>
              <w:top w:val="single" w:sz="4" w:space="0" w:color="auto"/>
              <w:left w:val="nil"/>
              <w:bottom w:val="double" w:sz="6" w:space="0" w:color="auto"/>
              <w:right w:val="single" w:sz="4" w:space="0" w:color="auto"/>
            </w:tcBorders>
            <w:shd w:val="clear" w:color="auto" w:fill="auto"/>
            <w:noWrap/>
            <w:vAlign w:val="bottom"/>
            <w:hideMark/>
          </w:tcPr>
          <w:p w14:paraId="182CC2A8"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5.0</w:t>
            </w:r>
          </w:p>
        </w:tc>
      </w:tr>
      <w:tr w:rsidR="009545C3" w:rsidRPr="00BE4B1A" w14:paraId="4319F4D5" w14:textId="77777777" w:rsidTr="00F528C6">
        <w:trPr>
          <w:trHeight w:val="225"/>
        </w:trPr>
        <w:tc>
          <w:tcPr>
            <w:tcW w:w="1516" w:type="pct"/>
            <w:tcBorders>
              <w:top w:val="nil"/>
              <w:left w:val="single" w:sz="4" w:space="0" w:color="auto"/>
              <w:bottom w:val="nil"/>
              <w:right w:val="single" w:sz="4" w:space="0" w:color="auto"/>
            </w:tcBorders>
            <w:shd w:val="clear" w:color="000000" w:fill="FFFFFF"/>
            <w:noWrap/>
            <w:vAlign w:val="center"/>
            <w:hideMark/>
          </w:tcPr>
          <w:p w14:paraId="5A812A68"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Refinancing risk</w:t>
            </w:r>
          </w:p>
        </w:tc>
        <w:tc>
          <w:tcPr>
            <w:tcW w:w="1610" w:type="pct"/>
            <w:tcBorders>
              <w:top w:val="nil"/>
              <w:left w:val="nil"/>
              <w:bottom w:val="single" w:sz="4" w:space="0" w:color="auto"/>
              <w:right w:val="single" w:sz="4" w:space="0" w:color="auto"/>
            </w:tcBorders>
            <w:shd w:val="clear" w:color="000000" w:fill="FFFFFF"/>
            <w:noWrap/>
            <w:vAlign w:val="bottom"/>
            <w:hideMark/>
          </w:tcPr>
          <w:p w14:paraId="2844C6AD"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Debt maturing in 1yr (% of total)</w:t>
            </w:r>
          </w:p>
        </w:tc>
        <w:tc>
          <w:tcPr>
            <w:tcW w:w="844" w:type="pct"/>
            <w:tcBorders>
              <w:top w:val="nil"/>
              <w:left w:val="nil"/>
              <w:bottom w:val="single" w:sz="4" w:space="0" w:color="auto"/>
              <w:right w:val="single" w:sz="4" w:space="0" w:color="auto"/>
            </w:tcBorders>
            <w:shd w:val="clear" w:color="auto" w:fill="auto"/>
            <w:noWrap/>
            <w:vAlign w:val="bottom"/>
            <w:hideMark/>
          </w:tcPr>
          <w:p w14:paraId="7186AE17"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5.4</w:t>
            </w:r>
          </w:p>
        </w:tc>
        <w:tc>
          <w:tcPr>
            <w:tcW w:w="1030" w:type="pct"/>
            <w:tcBorders>
              <w:top w:val="nil"/>
              <w:left w:val="nil"/>
              <w:bottom w:val="single" w:sz="4" w:space="0" w:color="auto"/>
              <w:right w:val="single" w:sz="4" w:space="0" w:color="auto"/>
            </w:tcBorders>
            <w:shd w:val="clear" w:color="auto" w:fill="auto"/>
            <w:noWrap/>
            <w:vAlign w:val="bottom"/>
            <w:hideMark/>
          </w:tcPr>
          <w:p w14:paraId="56D1A0FD"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6.0</w:t>
            </w:r>
          </w:p>
        </w:tc>
      </w:tr>
      <w:tr w:rsidR="009545C3" w:rsidRPr="00BE4B1A" w14:paraId="0728646D" w14:textId="77777777" w:rsidTr="00F528C6">
        <w:trPr>
          <w:trHeight w:val="225"/>
        </w:trPr>
        <w:tc>
          <w:tcPr>
            <w:tcW w:w="1516" w:type="pct"/>
            <w:tcBorders>
              <w:top w:val="nil"/>
              <w:left w:val="single" w:sz="4" w:space="0" w:color="auto"/>
              <w:bottom w:val="nil"/>
              <w:right w:val="single" w:sz="4" w:space="0" w:color="auto"/>
            </w:tcBorders>
            <w:shd w:val="clear" w:color="000000" w:fill="FFFFFF"/>
            <w:noWrap/>
            <w:vAlign w:val="center"/>
            <w:hideMark/>
          </w:tcPr>
          <w:p w14:paraId="55D270EF"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nil"/>
              <w:left w:val="single" w:sz="4" w:space="0" w:color="auto"/>
              <w:bottom w:val="single" w:sz="4" w:space="0" w:color="auto"/>
              <w:right w:val="single" w:sz="4" w:space="0" w:color="000000"/>
            </w:tcBorders>
            <w:shd w:val="clear" w:color="000000" w:fill="FFFFFF"/>
            <w:noWrap/>
            <w:vAlign w:val="bottom"/>
            <w:hideMark/>
          </w:tcPr>
          <w:p w14:paraId="05436DB3"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Debt maturing in 1yr (% of GDP)</w:t>
            </w:r>
          </w:p>
        </w:tc>
        <w:tc>
          <w:tcPr>
            <w:tcW w:w="844" w:type="pct"/>
            <w:tcBorders>
              <w:top w:val="nil"/>
              <w:left w:val="nil"/>
              <w:bottom w:val="single" w:sz="4" w:space="0" w:color="auto"/>
              <w:right w:val="single" w:sz="4" w:space="0" w:color="auto"/>
            </w:tcBorders>
            <w:shd w:val="clear" w:color="auto" w:fill="auto"/>
            <w:noWrap/>
            <w:vAlign w:val="bottom"/>
            <w:hideMark/>
          </w:tcPr>
          <w:p w14:paraId="06D41C96"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2.8</w:t>
            </w:r>
          </w:p>
        </w:tc>
        <w:tc>
          <w:tcPr>
            <w:tcW w:w="1030" w:type="pct"/>
            <w:tcBorders>
              <w:top w:val="nil"/>
              <w:left w:val="nil"/>
              <w:bottom w:val="single" w:sz="4" w:space="0" w:color="auto"/>
              <w:right w:val="single" w:sz="4" w:space="0" w:color="auto"/>
            </w:tcBorders>
            <w:shd w:val="clear" w:color="auto" w:fill="auto"/>
            <w:noWrap/>
            <w:vAlign w:val="bottom"/>
            <w:hideMark/>
          </w:tcPr>
          <w:p w14:paraId="12594E95"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3.1</w:t>
            </w:r>
          </w:p>
        </w:tc>
      </w:tr>
      <w:tr w:rsidR="009545C3" w:rsidRPr="00BE4B1A" w14:paraId="592C39FC" w14:textId="77777777" w:rsidTr="00F528C6">
        <w:trPr>
          <w:trHeight w:val="255"/>
        </w:trPr>
        <w:tc>
          <w:tcPr>
            <w:tcW w:w="1516" w:type="pct"/>
            <w:tcBorders>
              <w:top w:val="nil"/>
              <w:left w:val="single" w:sz="4" w:space="0" w:color="auto"/>
              <w:bottom w:val="nil"/>
              <w:right w:val="single" w:sz="4" w:space="0" w:color="auto"/>
            </w:tcBorders>
            <w:shd w:val="clear" w:color="000000" w:fill="FFFFFF"/>
            <w:noWrap/>
            <w:vAlign w:val="center"/>
            <w:hideMark/>
          </w:tcPr>
          <w:p w14:paraId="33A16936"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nil"/>
              <w:left w:val="single" w:sz="4" w:space="0" w:color="auto"/>
              <w:bottom w:val="single" w:sz="4" w:space="0" w:color="auto"/>
              <w:right w:val="single" w:sz="4" w:space="0" w:color="000000"/>
            </w:tcBorders>
            <w:shd w:val="clear" w:color="000000" w:fill="FFFFFF"/>
            <w:noWrap/>
            <w:vAlign w:val="bottom"/>
            <w:hideMark/>
          </w:tcPr>
          <w:p w14:paraId="524E1E9F"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ATM External Portfolio (years)</w:t>
            </w:r>
          </w:p>
        </w:tc>
        <w:tc>
          <w:tcPr>
            <w:tcW w:w="844" w:type="pct"/>
            <w:tcBorders>
              <w:top w:val="nil"/>
              <w:left w:val="nil"/>
              <w:bottom w:val="single" w:sz="4" w:space="0" w:color="auto"/>
              <w:right w:val="single" w:sz="4" w:space="0" w:color="auto"/>
            </w:tcBorders>
            <w:shd w:val="clear" w:color="auto" w:fill="auto"/>
            <w:noWrap/>
            <w:vAlign w:val="bottom"/>
            <w:hideMark/>
          </w:tcPr>
          <w:p w14:paraId="19F9AA15"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10.2</w:t>
            </w:r>
          </w:p>
        </w:tc>
        <w:tc>
          <w:tcPr>
            <w:tcW w:w="1030" w:type="pct"/>
            <w:tcBorders>
              <w:top w:val="nil"/>
              <w:left w:val="nil"/>
              <w:bottom w:val="single" w:sz="4" w:space="0" w:color="auto"/>
              <w:right w:val="single" w:sz="4" w:space="0" w:color="auto"/>
            </w:tcBorders>
            <w:shd w:val="clear" w:color="auto" w:fill="auto"/>
            <w:noWrap/>
            <w:vAlign w:val="bottom"/>
            <w:hideMark/>
          </w:tcPr>
          <w:p w14:paraId="19FEA5D2"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10.0</w:t>
            </w:r>
          </w:p>
        </w:tc>
      </w:tr>
      <w:tr w:rsidR="009545C3" w:rsidRPr="00BE4B1A" w14:paraId="6D54740B" w14:textId="77777777" w:rsidTr="00F528C6">
        <w:trPr>
          <w:trHeight w:val="255"/>
        </w:trPr>
        <w:tc>
          <w:tcPr>
            <w:tcW w:w="1516" w:type="pct"/>
            <w:tcBorders>
              <w:top w:val="nil"/>
              <w:left w:val="single" w:sz="4" w:space="0" w:color="auto"/>
              <w:bottom w:val="nil"/>
              <w:right w:val="single" w:sz="4" w:space="0" w:color="auto"/>
            </w:tcBorders>
            <w:shd w:val="clear" w:color="000000" w:fill="FFFFFF"/>
            <w:noWrap/>
            <w:vAlign w:val="center"/>
            <w:hideMark/>
          </w:tcPr>
          <w:p w14:paraId="10B96A71"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352820"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ATM Domestic Portfolio (years)</w:t>
            </w:r>
          </w:p>
        </w:tc>
        <w:tc>
          <w:tcPr>
            <w:tcW w:w="844" w:type="pct"/>
            <w:tcBorders>
              <w:top w:val="nil"/>
              <w:left w:val="nil"/>
              <w:bottom w:val="single" w:sz="4" w:space="0" w:color="auto"/>
              <w:right w:val="single" w:sz="4" w:space="0" w:color="auto"/>
            </w:tcBorders>
            <w:shd w:val="clear" w:color="auto" w:fill="auto"/>
            <w:noWrap/>
            <w:vAlign w:val="bottom"/>
            <w:hideMark/>
          </w:tcPr>
          <w:p w14:paraId="76511A81"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11.5</w:t>
            </w:r>
          </w:p>
        </w:tc>
        <w:tc>
          <w:tcPr>
            <w:tcW w:w="1030" w:type="pct"/>
            <w:tcBorders>
              <w:top w:val="nil"/>
              <w:left w:val="nil"/>
              <w:bottom w:val="single" w:sz="4" w:space="0" w:color="auto"/>
              <w:right w:val="single" w:sz="4" w:space="0" w:color="auto"/>
            </w:tcBorders>
            <w:shd w:val="clear" w:color="auto" w:fill="auto"/>
            <w:noWrap/>
            <w:vAlign w:val="bottom"/>
            <w:hideMark/>
          </w:tcPr>
          <w:p w14:paraId="2072C0A0"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11.9</w:t>
            </w:r>
          </w:p>
        </w:tc>
      </w:tr>
      <w:tr w:rsidR="009545C3" w:rsidRPr="00BE4B1A" w14:paraId="0008FE88" w14:textId="77777777" w:rsidTr="00F528C6">
        <w:trPr>
          <w:trHeight w:val="270"/>
        </w:trPr>
        <w:tc>
          <w:tcPr>
            <w:tcW w:w="1516" w:type="pct"/>
            <w:tcBorders>
              <w:top w:val="nil"/>
              <w:left w:val="single" w:sz="4" w:space="0" w:color="auto"/>
              <w:bottom w:val="nil"/>
              <w:right w:val="single" w:sz="4" w:space="0" w:color="auto"/>
            </w:tcBorders>
            <w:shd w:val="clear" w:color="000000" w:fill="FFFFFF"/>
            <w:noWrap/>
            <w:vAlign w:val="center"/>
            <w:hideMark/>
          </w:tcPr>
          <w:p w14:paraId="5BF4B37E"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lastRenderedPageBreak/>
              <w:t> </w:t>
            </w:r>
          </w:p>
        </w:tc>
        <w:tc>
          <w:tcPr>
            <w:tcW w:w="1610"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96DF62"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ATM Total Portfolio (years)</w:t>
            </w:r>
          </w:p>
        </w:tc>
        <w:tc>
          <w:tcPr>
            <w:tcW w:w="844" w:type="pct"/>
            <w:tcBorders>
              <w:top w:val="nil"/>
              <w:left w:val="nil"/>
              <w:bottom w:val="single" w:sz="4" w:space="0" w:color="auto"/>
              <w:right w:val="single" w:sz="4" w:space="0" w:color="auto"/>
            </w:tcBorders>
            <w:shd w:val="clear" w:color="auto" w:fill="auto"/>
            <w:noWrap/>
            <w:vAlign w:val="bottom"/>
            <w:hideMark/>
          </w:tcPr>
          <w:p w14:paraId="1804A10C"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10.5</w:t>
            </w:r>
          </w:p>
        </w:tc>
        <w:tc>
          <w:tcPr>
            <w:tcW w:w="1030" w:type="pct"/>
            <w:tcBorders>
              <w:top w:val="nil"/>
              <w:left w:val="nil"/>
              <w:bottom w:val="single" w:sz="4" w:space="0" w:color="auto"/>
              <w:right w:val="single" w:sz="4" w:space="0" w:color="auto"/>
            </w:tcBorders>
            <w:shd w:val="clear" w:color="auto" w:fill="auto"/>
            <w:noWrap/>
            <w:vAlign w:val="bottom"/>
            <w:hideMark/>
          </w:tcPr>
          <w:p w14:paraId="04A31929"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10.4</w:t>
            </w:r>
          </w:p>
        </w:tc>
      </w:tr>
      <w:tr w:rsidR="009545C3" w:rsidRPr="00BE4B1A" w14:paraId="6F996F69" w14:textId="77777777" w:rsidTr="00F528C6">
        <w:trPr>
          <w:trHeight w:val="270"/>
        </w:trPr>
        <w:tc>
          <w:tcPr>
            <w:tcW w:w="1516" w:type="pct"/>
            <w:tcBorders>
              <w:top w:val="double" w:sz="6" w:space="0" w:color="auto"/>
              <w:left w:val="single" w:sz="4" w:space="0" w:color="auto"/>
              <w:bottom w:val="nil"/>
              <w:right w:val="single" w:sz="4" w:space="0" w:color="auto"/>
            </w:tcBorders>
            <w:shd w:val="clear" w:color="000000" w:fill="FFFFFF"/>
            <w:noWrap/>
            <w:vAlign w:val="center"/>
            <w:hideMark/>
          </w:tcPr>
          <w:p w14:paraId="74196991"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Interest rate risk</w:t>
            </w:r>
          </w:p>
        </w:tc>
        <w:tc>
          <w:tcPr>
            <w:tcW w:w="1610" w:type="pct"/>
            <w:tcBorders>
              <w:top w:val="double" w:sz="6" w:space="0" w:color="auto"/>
              <w:left w:val="nil"/>
              <w:bottom w:val="nil"/>
              <w:right w:val="single" w:sz="4" w:space="0" w:color="auto"/>
            </w:tcBorders>
            <w:shd w:val="clear" w:color="000000" w:fill="FFFFFF"/>
            <w:noWrap/>
            <w:vAlign w:val="bottom"/>
            <w:hideMark/>
          </w:tcPr>
          <w:p w14:paraId="0DF3C86E"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ATR (years)</w:t>
            </w:r>
          </w:p>
        </w:tc>
        <w:tc>
          <w:tcPr>
            <w:tcW w:w="844" w:type="pct"/>
            <w:tcBorders>
              <w:top w:val="double" w:sz="6" w:space="0" w:color="auto"/>
              <w:left w:val="nil"/>
              <w:bottom w:val="nil"/>
              <w:right w:val="single" w:sz="4" w:space="0" w:color="auto"/>
            </w:tcBorders>
            <w:shd w:val="clear" w:color="auto" w:fill="auto"/>
            <w:noWrap/>
            <w:vAlign w:val="bottom"/>
            <w:hideMark/>
          </w:tcPr>
          <w:p w14:paraId="5C5CE2AD"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8.4</w:t>
            </w:r>
          </w:p>
        </w:tc>
        <w:tc>
          <w:tcPr>
            <w:tcW w:w="1030" w:type="pct"/>
            <w:tcBorders>
              <w:top w:val="double" w:sz="6" w:space="0" w:color="auto"/>
              <w:left w:val="nil"/>
              <w:bottom w:val="nil"/>
              <w:right w:val="single" w:sz="4" w:space="0" w:color="auto"/>
            </w:tcBorders>
            <w:shd w:val="clear" w:color="auto" w:fill="auto"/>
            <w:noWrap/>
            <w:vAlign w:val="bottom"/>
            <w:hideMark/>
          </w:tcPr>
          <w:p w14:paraId="7270E1F5"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8.5</w:t>
            </w:r>
          </w:p>
        </w:tc>
      </w:tr>
      <w:tr w:rsidR="009545C3" w:rsidRPr="00BE4B1A" w14:paraId="2F6F2D65" w14:textId="77777777" w:rsidTr="00F528C6">
        <w:trPr>
          <w:trHeight w:val="255"/>
        </w:trPr>
        <w:tc>
          <w:tcPr>
            <w:tcW w:w="1516" w:type="pct"/>
            <w:tcBorders>
              <w:top w:val="nil"/>
              <w:left w:val="single" w:sz="4" w:space="0" w:color="auto"/>
              <w:bottom w:val="nil"/>
              <w:right w:val="single" w:sz="4" w:space="0" w:color="auto"/>
            </w:tcBorders>
            <w:shd w:val="clear" w:color="000000" w:fill="FFFFFF"/>
            <w:noWrap/>
            <w:vAlign w:val="center"/>
            <w:hideMark/>
          </w:tcPr>
          <w:p w14:paraId="6C53EF46"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0F526E"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Debt refixing in 1yr (% of total)</w:t>
            </w:r>
          </w:p>
        </w:tc>
        <w:tc>
          <w:tcPr>
            <w:tcW w:w="844" w:type="pct"/>
            <w:tcBorders>
              <w:top w:val="single" w:sz="4" w:space="0" w:color="auto"/>
              <w:left w:val="nil"/>
              <w:bottom w:val="single" w:sz="4" w:space="0" w:color="auto"/>
              <w:right w:val="single" w:sz="4" w:space="0" w:color="auto"/>
            </w:tcBorders>
            <w:shd w:val="clear" w:color="auto" w:fill="auto"/>
            <w:noWrap/>
            <w:vAlign w:val="bottom"/>
            <w:hideMark/>
          </w:tcPr>
          <w:p w14:paraId="45DA257F"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25.3</w:t>
            </w:r>
          </w:p>
        </w:tc>
        <w:tc>
          <w:tcPr>
            <w:tcW w:w="1030" w:type="pct"/>
            <w:tcBorders>
              <w:top w:val="single" w:sz="4" w:space="0" w:color="auto"/>
              <w:left w:val="nil"/>
              <w:bottom w:val="single" w:sz="4" w:space="0" w:color="auto"/>
              <w:right w:val="single" w:sz="4" w:space="0" w:color="auto"/>
            </w:tcBorders>
            <w:shd w:val="clear" w:color="auto" w:fill="auto"/>
            <w:noWrap/>
            <w:vAlign w:val="bottom"/>
            <w:hideMark/>
          </w:tcPr>
          <w:p w14:paraId="5CDD4364"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23.9</w:t>
            </w:r>
          </w:p>
        </w:tc>
      </w:tr>
      <w:tr w:rsidR="009545C3" w:rsidRPr="00BE4B1A" w14:paraId="63E40267" w14:textId="77777777" w:rsidTr="00F528C6">
        <w:trPr>
          <w:trHeight w:val="270"/>
        </w:trPr>
        <w:tc>
          <w:tcPr>
            <w:tcW w:w="1516" w:type="pct"/>
            <w:tcBorders>
              <w:top w:val="nil"/>
              <w:left w:val="single" w:sz="4" w:space="0" w:color="auto"/>
              <w:bottom w:val="double" w:sz="6" w:space="0" w:color="auto"/>
              <w:right w:val="single" w:sz="4" w:space="0" w:color="auto"/>
            </w:tcBorders>
            <w:shd w:val="clear" w:color="000000" w:fill="FFFFFF"/>
            <w:noWrap/>
            <w:vAlign w:val="center"/>
            <w:hideMark/>
          </w:tcPr>
          <w:p w14:paraId="572D3BE7"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nil"/>
              <w:left w:val="nil"/>
              <w:bottom w:val="double" w:sz="6" w:space="0" w:color="auto"/>
              <w:right w:val="single" w:sz="4" w:space="0" w:color="auto"/>
            </w:tcBorders>
            <w:shd w:val="clear" w:color="000000" w:fill="FFFFFF"/>
            <w:noWrap/>
            <w:vAlign w:val="bottom"/>
            <w:hideMark/>
          </w:tcPr>
          <w:p w14:paraId="7D60004E"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Fixed rate debt (% of total)</w:t>
            </w:r>
          </w:p>
        </w:tc>
        <w:tc>
          <w:tcPr>
            <w:tcW w:w="844" w:type="pct"/>
            <w:tcBorders>
              <w:top w:val="nil"/>
              <w:left w:val="nil"/>
              <w:bottom w:val="double" w:sz="6" w:space="0" w:color="auto"/>
              <w:right w:val="single" w:sz="4" w:space="0" w:color="auto"/>
            </w:tcBorders>
            <w:shd w:val="clear" w:color="auto" w:fill="auto"/>
            <w:noWrap/>
            <w:vAlign w:val="bottom"/>
            <w:hideMark/>
          </w:tcPr>
          <w:p w14:paraId="66F8A60C"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79.8</w:t>
            </w:r>
          </w:p>
        </w:tc>
        <w:tc>
          <w:tcPr>
            <w:tcW w:w="1030" w:type="pct"/>
            <w:tcBorders>
              <w:top w:val="nil"/>
              <w:left w:val="nil"/>
              <w:bottom w:val="double" w:sz="6" w:space="0" w:color="auto"/>
              <w:right w:val="single" w:sz="4" w:space="0" w:color="auto"/>
            </w:tcBorders>
            <w:shd w:val="clear" w:color="auto" w:fill="auto"/>
            <w:noWrap/>
            <w:vAlign w:val="bottom"/>
            <w:hideMark/>
          </w:tcPr>
          <w:p w14:paraId="6C0701FC"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81.8</w:t>
            </w:r>
          </w:p>
        </w:tc>
      </w:tr>
      <w:tr w:rsidR="009545C3" w:rsidRPr="00BE4B1A" w14:paraId="65951C62" w14:textId="77777777" w:rsidTr="00F528C6">
        <w:trPr>
          <w:trHeight w:val="270"/>
        </w:trPr>
        <w:tc>
          <w:tcPr>
            <w:tcW w:w="1516" w:type="pct"/>
            <w:tcBorders>
              <w:top w:val="nil"/>
              <w:left w:val="single" w:sz="4" w:space="0" w:color="auto"/>
              <w:bottom w:val="nil"/>
              <w:right w:val="single" w:sz="4" w:space="0" w:color="auto"/>
            </w:tcBorders>
            <w:shd w:val="clear" w:color="auto" w:fill="auto"/>
            <w:noWrap/>
            <w:vAlign w:val="center"/>
            <w:hideMark/>
          </w:tcPr>
          <w:p w14:paraId="3D3D0BF3"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FX risk</w:t>
            </w:r>
          </w:p>
        </w:tc>
        <w:tc>
          <w:tcPr>
            <w:tcW w:w="1610" w:type="pct"/>
            <w:tcBorders>
              <w:top w:val="nil"/>
              <w:left w:val="single" w:sz="4" w:space="0" w:color="auto"/>
              <w:bottom w:val="single" w:sz="4" w:space="0" w:color="auto"/>
              <w:right w:val="single" w:sz="4" w:space="0" w:color="auto"/>
            </w:tcBorders>
            <w:shd w:val="clear" w:color="auto" w:fill="auto"/>
            <w:noWrap/>
            <w:vAlign w:val="bottom"/>
            <w:hideMark/>
          </w:tcPr>
          <w:p w14:paraId="6A003DA5"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FX debt as % of total </w:t>
            </w:r>
          </w:p>
        </w:tc>
        <w:tc>
          <w:tcPr>
            <w:tcW w:w="844" w:type="pct"/>
            <w:tcBorders>
              <w:top w:val="nil"/>
              <w:left w:val="nil"/>
              <w:bottom w:val="single" w:sz="4" w:space="0" w:color="auto"/>
              <w:right w:val="single" w:sz="4" w:space="0" w:color="auto"/>
            </w:tcBorders>
            <w:shd w:val="clear" w:color="auto" w:fill="auto"/>
            <w:noWrap/>
            <w:vAlign w:val="bottom"/>
            <w:hideMark/>
          </w:tcPr>
          <w:p w14:paraId="2649D103"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80.3</w:t>
            </w:r>
          </w:p>
        </w:tc>
        <w:tc>
          <w:tcPr>
            <w:tcW w:w="1030" w:type="pct"/>
            <w:tcBorders>
              <w:top w:val="nil"/>
              <w:left w:val="nil"/>
              <w:bottom w:val="single" w:sz="4" w:space="0" w:color="auto"/>
              <w:right w:val="single" w:sz="4" w:space="0" w:color="auto"/>
            </w:tcBorders>
            <w:shd w:val="clear" w:color="auto" w:fill="auto"/>
            <w:noWrap/>
            <w:vAlign w:val="bottom"/>
            <w:hideMark/>
          </w:tcPr>
          <w:p w14:paraId="78E43368"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75.1</w:t>
            </w:r>
          </w:p>
        </w:tc>
      </w:tr>
      <w:tr w:rsidR="009545C3" w:rsidRPr="00BE4B1A" w14:paraId="5C679A6B" w14:textId="77777777" w:rsidTr="00F528C6">
        <w:trPr>
          <w:trHeight w:val="255"/>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14:paraId="246EC255"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 </w:t>
            </w:r>
          </w:p>
        </w:tc>
        <w:tc>
          <w:tcPr>
            <w:tcW w:w="16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21EB7A" w14:textId="77777777" w:rsidR="009545C3" w:rsidRPr="00BE4B1A" w:rsidRDefault="009545C3" w:rsidP="00F528C6">
            <w:pPr>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ST FX debt as % of reserves</w:t>
            </w:r>
          </w:p>
        </w:tc>
        <w:tc>
          <w:tcPr>
            <w:tcW w:w="844" w:type="pct"/>
            <w:tcBorders>
              <w:top w:val="nil"/>
              <w:left w:val="nil"/>
              <w:bottom w:val="single" w:sz="4" w:space="0" w:color="auto"/>
              <w:right w:val="single" w:sz="4" w:space="0" w:color="auto"/>
            </w:tcBorders>
            <w:shd w:val="clear" w:color="auto" w:fill="auto"/>
            <w:noWrap/>
            <w:vAlign w:val="bottom"/>
            <w:hideMark/>
          </w:tcPr>
          <w:p w14:paraId="585394CA"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5.9</w:t>
            </w:r>
          </w:p>
        </w:tc>
        <w:tc>
          <w:tcPr>
            <w:tcW w:w="1030" w:type="pct"/>
            <w:tcBorders>
              <w:top w:val="nil"/>
              <w:left w:val="nil"/>
              <w:bottom w:val="single" w:sz="4" w:space="0" w:color="auto"/>
              <w:right w:val="single" w:sz="4" w:space="0" w:color="auto"/>
            </w:tcBorders>
            <w:shd w:val="clear" w:color="auto" w:fill="auto"/>
            <w:noWrap/>
            <w:vAlign w:val="bottom"/>
            <w:hideMark/>
          </w:tcPr>
          <w:p w14:paraId="197FF1B0" w14:textId="77777777" w:rsidR="009545C3" w:rsidRPr="00BE4B1A" w:rsidRDefault="009545C3" w:rsidP="00F528C6">
            <w:pPr>
              <w:jc w:val="right"/>
              <w:rPr>
                <w:rFonts w:ascii="Calibri" w:eastAsia="Times New Roman" w:hAnsi="Calibri" w:cs="Calibri"/>
                <w:sz w:val="20"/>
                <w:szCs w:val="20"/>
                <w:lang w:eastAsia="en-GB"/>
              </w:rPr>
            </w:pPr>
            <w:r w:rsidRPr="00BE4B1A">
              <w:rPr>
                <w:rFonts w:ascii="Calibri" w:eastAsia="Times New Roman" w:hAnsi="Calibri" w:cs="Calibri"/>
                <w:sz w:val="20"/>
                <w:szCs w:val="20"/>
                <w:lang w:eastAsia="en-GB"/>
              </w:rPr>
              <w:t>5.9</w:t>
            </w:r>
          </w:p>
        </w:tc>
      </w:tr>
    </w:tbl>
    <w:p w14:paraId="0D9BDE87" w14:textId="77777777" w:rsidR="009545C3" w:rsidRDefault="009545C3" w:rsidP="009545C3">
      <w:pPr>
        <w:pStyle w:val="ListParagraph"/>
        <w:ind w:left="360"/>
        <w:jc w:val="both"/>
      </w:pPr>
    </w:p>
    <w:p w14:paraId="3D7DF252" w14:textId="732EE46D" w:rsidR="00EF7DEB" w:rsidRPr="00A75C90" w:rsidRDefault="00A75C90" w:rsidP="009545C3">
      <w:pPr>
        <w:pStyle w:val="ListParagraph"/>
        <w:numPr>
          <w:ilvl w:val="0"/>
          <w:numId w:val="3"/>
        </w:numPr>
        <w:jc w:val="both"/>
      </w:pPr>
      <w:r w:rsidRPr="009C00DC">
        <w:t xml:space="preserve">A back of the envelope calculation would suggest that with a 5 percent annual depreciation instead of the assumed 2-3 percent annual depreciation would imply around additional 6 percent depreciation </w:t>
      </w:r>
      <w:proofErr w:type="gramStart"/>
      <w:r w:rsidRPr="009C00DC">
        <w:t>between 2018-2020</w:t>
      </w:r>
      <w:proofErr w:type="gramEnd"/>
      <w:r w:rsidRPr="009C00DC">
        <w:t>. This would mean that at the end of the horizon (2020), the debt stock for the accelerated domestic debt issuance strategy (at 52.4 percent of GDP) will be less by 0.8 percent of GDP compared to the debt stock under the existing strategy (at 53.2 percent of GDP)</w:t>
      </w:r>
      <w:r>
        <w:rPr>
          <w:rStyle w:val="FootnoteReference"/>
        </w:rPr>
        <w:footnoteReference w:id="15"/>
      </w:r>
      <w:r w:rsidR="001916FE">
        <w:t xml:space="preserve"> (Table7)</w:t>
      </w:r>
      <w:r w:rsidRPr="009C00DC">
        <w:t>. Incorporating more realistic baseline assumptions about exchange rate depreciation would therefore indicate the aggressive domestic debt issuance strategy to be a superior one compared to the existing strategy.</w:t>
      </w:r>
    </w:p>
    <w:p w14:paraId="601C5D07" w14:textId="068DA38A" w:rsidR="00A75C90" w:rsidRDefault="00A75C90">
      <w:pPr>
        <w:pStyle w:val="ListParagraph"/>
        <w:ind w:left="360"/>
        <w:jc w:val="both"/>
      </w:pPr>
    </w:p>
    <w:p w14:paraId="02C7A1D4" w14:textId="0C078407" w:rsidR="001916FE" w:rsidRDefault="001916FE">
      <w:pPr>
        <w:pStyle w:val="ListParagraph"/>
        <w:ind w:left="360"/>
        <w:jc w:val="both"/>
      </w:pPr>
      <w:r>
        <w:t xml:space="preserve">Table 7: Impact of Realistic Baseline Assumptions </w:t>
      </w:r>
      <w:r w:rsidR="00A44065">
        <w:t>– Comparison b</w:t>
      </w:r>
      <w:r>
        <w:t>etween Alternative Strategies</w:t>
      </w:r>
    </w:p>
    <w:tbl>
      <w:tblPr>
        <w:tblW w:w="6225" w:type="dxa"/>
        <w:tblInd w:w="2" w:type="dxa"/>
        <w:tblCellMar>
          <w:left w:w="0" w:type="dxa"/>
          <w:right w:w="0" w:type="dxa"/>
        </w:tblCellMar>
        <w:tblLook w:val="04A0" w:firstRow="1" w:lastRow="0" w:firstColumn="1" w:lastColumn="0" w:noHBand="0" w:noVBand="1"/>
      </w:tblPr>
      <w:tblGrid>
        <w:gridCol w:w="3107"/>
        <w:gridCol w:w="1417"/>
        <w:gridCol w:w="1701"/>
      </w:tblGrid>
      <w:tr w:rsidR="001916FE" w14:paraId="6E415ADB" w14:textId="77777777" w:rsidTr="009C00DC">
        <w:trPr>
          <w:trHeight w:val="300"/>
        </w:trPr>
        <w:tc>
          <w:tcPr>
            <w:tcW w:w="3107"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368595C8" w14:textId="77777777" w:rsidR="001916FE" w:rsidRDefault="001916FE" w:rsidP="00212C1F">
            <w:pPr>
              <w:rPr>
                <w:color w:val="000000"/>
              </w:rPr>
            </w:pPr>
            <w:r>
              <w:rPr>
                <w:color w:val="000000"/>
              </w:rPr>
              <w:t> </w:t>
            </w:r>
          </w:p>
        </w:tc>
        <w:tc>
          <w:tcPr>
            <w:tcW w:w="311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3DCFF6F1" w14:textId="77777777" w:rsidR="001916FE" w:rsidRDefault="001916FE" w:rsidP="00212C1F">
            <w:pPr>
              <w:jc w:val="center"/>
              <w:rPr>
                <w:color w:val="000000"/>
              </w:rPr>
            </w:pPr>
            <w:r>
              <w:rPr>
                <w:color w:val="000000"/>
              </w:rPr>
              <w:t>Debt Strategies</w:t>
            </w:r>
          </w:p>
        </w:tc>
      </w:tr>
      <w:tr w:rsidR="001916FE" w14:paraId="7DAA152A" w14:textId="77777777" w:rsidTr="009C00DC">
        <w:trPr>
          <w:trHeight w:val="300"/>
        </w:trPr>
        <w:tc>
          <w:tcPr>
            <w:tcW w:w="31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7858F" w14:textId="77777777" w:rsidR="001916FE" w:rsidRDefault="001916FE" w:rsidP="00212C1F">
            <w:pPr>
              <w:rPr>
                <w:color w:val="000000"/>
              </w:rPr>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B9E7C" w14:textId="77777777" w:rsidR="001916FE" w:rsidRDefault="001916FE" w:rsidP="009C00DC">
            <w:pPr>
              <w:jc w:val="center"/>
              <w:rPr>
                <w:color w:val="000000"/>
              </w:rPr>
            </w:pPr>
            <w:r>
              <w:rPr>
                <w:color w:val="000000"/>
              </w:rPr>
              <w:t>Existing</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BC53B" w14:textId="77777777" w:rsidR="001916FE" w:rsidRDefault="001916FE" w:rsidP="009C00DC">
            <w:pPr>
              <w:jc w:val="center"/>
              <w:rPr>
                <w:color w:val="000000"/>
              </w:rPr>
            </w:pPr>
            <w:r>
              <w:rPr>
                <w:color w:val="000000"/>
              </w:rPr>
              <w:t>Accelerated Domestic Issuance</w:t>
            </w:r>
          </w:p>
        </w:tc>
      </w:tr>
      <w:tr w:rsidR="001916FE" w14:paraId="321541A8" w14:textId="77777777" w:rsidTr="009C00DC">
        <w:trPr>
          <w:trHeight w:val="300"/>
        </w:trPr>
        <w:tc>
          <w:tcPr>
            <w:tcW w:w="6225" w:type="dxa"/>
            <w:gridSpan w:val="3"/>
            <w:tcBorders>
              <w:top w:val="nil"/>
              <w:left w:val="single" w:sz="8" w:space="0" w:color="auto"/>
              <w:bottom w:val="nil"/>
              <w:right w:val="single" w:sz="8" w:space="0" w:color="000000"/>
            </w:tcBorders>
            <w:noWrap/>
            <w:tcMar>
              <w:top w:w="0" w:type="dxa"/>
              <w:left w:w="108" w:type="dxa"/>
              <w:bottom w:w="0" w:type="dxa"/>
              <w:right w:w="108" w:type="dxa"/>
            </w:tcMar>
            <w:vAlign w:val="bottom"/>
            <w:hideMark/>
          </w:tcPr>
          <w:p w14:paraId="00FAD6F6" w14:textId="77777777" w:rsidR="001916FE" w:rsidRDefault="001916FE" w:rsidP="00212C1F">
            <w:pPr>
              <w:rPr>
                <w:color w:val="000000"/>
              </w:rPr>
            </w:pPr>
            <w:r>
              <w:rPr>
                <w:color w:val="000000"/>
              </w:rPr>
              <w:t>Annual 2-3% depreciation:</w:t>
            </w:r>
          </w:p>
        </w:tc>
      </w:tr>
      <w:tr w:rsidR="001916FE" w14:paraId="2E1B521F" w14:textId="77777777" w:rsidTr="009C00DC">
        <w:trPr>
          <w:trHeight w:val="300"/>
        </w:trPr>
        <w:tc>
          <w:tcPr>
            <w:tcW w:w="310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4849CE6" w14:textId="77777777" w:rsidR="001916FE" w:rsidRDefault="001916FE" w:rsidP="00212C1F">
            <w:pPr>
              <w:rPr>
                <w:color w:val="000000"/>
              </w:rPr>
            </w:pPr>
            <w:r>
              <w:rPr>
                <w:color w:val="000000"/>
              </w:rPr>
              <w:t>Nominal Debt/GDP</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1E842B37" w14:textId="77777777" w:rsidR="001916FE" w:rsidRDefault="001916FE" w:rsidP="00212C1F">
            <w:pPr>
              <w:jc w:val="right"/>
              <w:rPr>
                <w:color w:val="000000"/>
              </w:rPr>
            </w:pPr>
            <w:r>
              <w:rPr>
                <w:color w:val="000000"/>
              </w:rPr>
              <w:t>50.8</w:t>
            </w:r>
          </w:p>
        </w:tc>
        <w:tc>
          <w:tcPr>
            <w:tcW w:w="1701" w:type="dxa"/>
            <w:tcBorders>
              <w:top w:val="nil"/>
              <w:left w:val="nil"/>
              <w:bottom w:val="nil"/>
              <w:right w:val="single" w:sz="8" w:space="0" w:color="auto"/>
            </w:tcBorders>
            <w:noWrap/>
            <w:tcMar>
              <w:top w:w="0" w:type="dxa"/>
              <w:left w:w="108" w:type="dxa"/>
              <w:bottom w:w="0" w:type="dxa"/>
              <w:right w:w="108" w:type="dxa"/>
            </w:tcMar>
            <w:vAlign w:val="bottom"/>
            <w:hideMark/>
          </w:tcPr>
          <w:p w14:paraId="4F7A9E64" w14:textId="77777777" w:rsidR="001916FE" w:rsidRDefault="001916FE" w:rsidP="00212C1F">
            <w:pPr>
              <w:jc w:val="right"/>
              <w:rPr>
                <w:color w:val="000000"/>
              </w:rPr>
            </w:pPr>
            <w:r>
              <w:rPr>
                <w:color w:val="000000"/>
              </w:rPr>
              <w:t>50.1</w:t>
            </w:r>
          </w:p>
        </w:tc>
      </w:tr>
      <w:tr w:rsidR="001916FE" w14:paraId="72BC39EB" w14:textId="77777777" w:rsidTr="009C00DC">
        <w:trPr>
          <w:trHeight w:val="300"/>
        </w:trPr>
        <w:tc>
          <w:tcPr>
            <w:tcW w:w="310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92A4966" w14:textId="77777777" w:rsidR="001916FE" w:rsidRDefault="001916FE" w:rsidP="00212C1F">
            <w:pPr>
              <w:rPr>
                <w:color w:val="000000"/>
              </w:rPr>
            </w:pPr>
            <w:r>
              <w:rPr>
                <w:color w:val="000000"/>
              </w:rPr>
              <w:t>Forex Debt Share</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164EBB9A" w14:textId="77777777" w:rsidR="001916FE" w:rsidRDefault="001916FE" w:rsidP="00212C1F">
            <w:pPr>
              <w:jc w:val="right"/>
              <w:rPr>
                <w:color w:val="000000"/>
              </w:rPr>
            </w:pPr>
            <w:r>
              <w:rPr>
                <w:color w:val="000000"/>
              </w:rPr>
              <w:t>80.3</w:t>
            </w:r>
          </w:p>
        </w:tc>
        <w:tc>
          <w:tcPr>
            <w:tcW w:w="1701" w:type="dxa"/>
            <w:tcBorders>
              <w:top w:val="nil"/>
              <w:left w:val="nil"/>
              <w:bottom w:val="nil"/>
              <w:right w:val="single" w:sz="8" w:space="0" w:color="auto"/>
            </w:tcBorders>
            <w:noWrap/>
            <w:tcMar>
              <w:top w:w="0" w:type="dxa"/>
              <w:left w:w="108" w:type="dxa"/>
              <w:bottom w:w="0" w:type="dxa"/>
              <w:right w:w="108" w:type="dxa"/>
            </w:tcMar>
            <w:vAlign w:val="bottom"/>
            <w:hideMark/>
          </w:tcPr>
          <w:p w14:paraId="657FCBD9" w14:textId="77777777" w:rsidR="001916FE" w:rsidRDefault="001916FE" w:rsidP="00212C1F">
            <w:pPr>
              <w:jc w:val="right"/>
              <w:rPr>
                <w:color w:val="000000"/>
              </w:rPr>
            </w:pPr>
            <w:r>
              <w:rPr>
                <w:color w:val="000000"/>
              </w:rPr>
              <w:t>75.1</w:t>
            </w:r>
          </w:p>
        </w:tc>
      </w:tr>
      <w:tr w:rsidR="001916FE" w14:paraId="587C501F" w14:textId="77777777" w:rsidTr="009C00DC">
        <w:trPr>
          <w:trHeight w:val="300"/>
        </w:trPr>
        <w:tc>
          <w:tcPr>
            <w:tcW w:w="310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06D067" w14:textId="77777777" w:rsidR="001916FE" w:rsidRDefault="001916FE" w:rsidP="00212C1F">
            <w:pPr>
              <w:rPr>
                <w:color w:val="000000"/>
              </w:rPr>
            </w:pPr>
            <w:r>
              <w:rPr>
                <w:color w:val="000000"/>
              </w:rPr>
              <w:t>Forex Debt / GDP</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3275C5C7" w14:textId="77777777" w:rsidR="001916FE" w:rsidRDefault="001916FE" w:rsidP="00212C1F">
            <w:pPr>
              <w:jc w:val="right"/>
              <w:rPr>
                <w:color w:val="000000"/>
              </w:rPr>
            </w:pPr>
            <w:r>
              <w:rPr>
                <w:color w:val="000000"/>
              </w:rPr>
              <w:t>40.8</w:t>
            </w:r>
          </w:p>
        </w:tc>
        <w:tc>
          <w:tcPr>
            <w:tcW w:w="1701" w:type="dxa"/>
            <w:tcBorders>
              <w:top w:val="nil"/>
              <w:left w:val="nil"/>
              <w:bottom w:val="nil"/>
              <w:right w:val="single" w:sz="8" w:space="0" w:color="auto"/>
            </w:tcBorders>
            <w:noWrap/>
            <w:tcMar>
              <w:top w:w="0" w:type="dxa"/>
              <w:left w:w="108" w:type="dxa"/>
              <w:bottom w:w="0" w:type="dxa"/>
              <w:right w:w="108" w:type="dxa"/>
            </w:tcMar>
            <w:vAlign w:val="bottom"/>
            <w:hideMark/>
          </w:tcPr>
          <w:p w14:paraId="6B312C45" w14:textId="77777777" w:rsidR="001916FE" w:rsidRDefault="001916FE" w:rsidP="00212C1F">
            <w:pPr>
              <w:jc w:val="right"/>
              <w:rPr>
                <w:color w:val="000000"/>
              </w:rPr>
            </w:pPr>
            <w:r>
              <w:rPr>
                <w:color w:val="000000"/>
              </w:rPr>
              <w:t>37.6</w:t>
            </w:r>
          </w:p>
        </w:tc>
      </w:tr>
      <w:tr w:rsidR="001916FE" w14:paraId="535E07CF" w14:textId="77777777" w:rsidTr="009C00DC">
        <w:trPr>
          <w:trHeight w:val="300"/>
        </w:trPr>
        <w:tc>
          <w:tcPr>
            <w:tcW w:w="31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1A953F" w14:textId="77777777" w:rsidR="001916FE" w:rsidRDefault="001916FE" w:rsidP="00212C1F">
            <w:pPr>
              <w:rPr>
                <w:color w:val="000000"/>
              </w:rPr>
            </w:pPr>
            <w:r>
              <w:rPr>
                <w:color w:val="000000"/>
              </w:rPr>
              <w:t>Dom Debt / GDP</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DC5F82" w14:textId="77777777" w:rsidR="001916FE" w:rsidRDefault="001916FE" w:rsidP="00212C1F">
            <w:pPr>
              <w:jc w:val="right"/>
              <w:rPr>
                <w:color w:val="000000"/>
              </w:rPr>
            </w:pPr>
            <w:r>
              <w:rPr>
                <w:color w:val="000000"/>
              </w:rPr>
              <w:t>10.0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90552" w14:textId="77777777" w:rsidR="001916FE" w:rsidRDefault="001916FE" w:rsidP="00212C1F">
            <w:pPr>
              <w:jc w:val="right"/>
              <w:rPr>
                <w:color w:val="000000"/>
              </w:rPr>
            </w:pPr>
            <w:r>
              <w:rPr>
                <w:color w:val="000000"/>
              </w:rPr>
              <w:t>12.5</w:t>
            </w:r>
          </w:p>
        </w:tc>
      </w:tr>
      <w:tr w:rsidR="001916FE" w14:paraId="17C0402B" w14:textId="77777777" w:rsidTr="009C00DC">
        <w:trPr>
          <w:trHeight w:val="300"/>
        </w:trPr>
        <w:tc>
          <w:tcPr>
            <w:tcW w:w="6225" w:type="dxa"/>
            <w:gridSpan w:val="3"/>
            <w:tcBorders>
              <w:top w:val="nil"/>
              <w:left w:val="single" w:sz="8" w:space="0" w:color="auto"/>
              <w:bottom w:val="nil"/>
              <w:right w:val="single" w:sz="8" w:space="0" w:color="000000"/>
            </w:tcBorders>
            <w:noWrap/>
            <w:tcMar>
              <w:top w:w="0" w:type="dxa"/>
              <w:left w:w="108" w:type="dxa"/>
              <w:bottom w:w="0" w:type="dxa"/>
              <w:right w:w="108" w:type="dxa"/>
            </w:tcMar>
            <w:vAlign w:val="bottom"/>
            <w:hideMark/>
          </w:tcPr>
          <w:p w14:paraId="595E7520" w14:textId="77777777" w:rsidR="001916FE" w:rsidRDefault="001916FE" w:rsidP="00212C1F">
            <w:pPr>
              <w:rPr>
                <w:color w:val="000000"/>
              </w:rPr>
            </w:pPr>
            <w:r>
              <w:rPr>
                <w:color w:val="000000"/>
              </w:rPr>
              <w:t>Additional compound 6% depreciation:</w:t>
            </w:r>
          </w:p>
        </w:tc>
      </w:tr>
      <w:tr w:rsidR="001916FE" w14:paraId="678E266A" w14:textId="77777777" w:rsidTr="009C00DC">
        <w:trPr>
          <w:trHeight w:val="300"/>
        </w:trPr>
        <w:tc>
          <w:tcPr>
            <w:tcW w:w="3107" w:type="dxa"/>
            <w:tcBorders>
              <w:top w:val="nil"/>
              <w:left w:val="single" w:sz="8" w:space="0" w:color="auto"/>
              <w:right w:val="single" w:sz="8" w:space="0" w:color="auto"/>
            </w:tcBorders>
            <w:noWrap/>
            <w:tcMar>
              <w:top w:w="0" w:type="dxa"/>
              <w:left w:w="108" w:type="dxa"/>
              <w:bottom w:w="0" w:type="dxa"/>
              <w:right w:w="108" w:type="dxa"/>
            </w:tcMar>
            <w:vAlign w:val="bottom"/>
            <w:hideMark/>
          </w:tcPr>
          <w:p w14:paraId="456A688B" w14:textId="77777777" w:rsidR="001916FE" w:rsidRDefault="001916FE" w:rsidP="00212C1F">
            <w:pPr>
              <w:rPr>
                <w:color w:val="000000"/>
              </w:rPr>
            </w:pPr>
            <w:r>
              <w:rPr>
                <w:color w:val="000000"/>
              </w:rPr>
              <w:t>Adjusted Forex Debt / GDP</w:t>
            </w:r>
          </w:p>
        </w:tc>
        <w:tc>
          <w:tcPr>
            <w:tcW w:w="1417" w:type="dxa"/>
            <w:tcBorders>
              <w:top w:val="nil"/>
              <w:left w:val="nil"/>
              <w:right w:val="single" w:sz="8" w:space="0" w:color="auto"/>
            </w:tcBorders>
            <w:noWrap/>
            <w:tcMar>
              <w:top w:w="0" w:type="dxa"/>
              <w:left w:w="108" w:type="dxa"/>
              <w:bottom w:w="0" w:type="dxa"/>
              <w:right w:w="108" w:type="dxa"/>
            </w:tcMar>
            <w:vAlign w:val="bottom"/>
            <w:hideMark/>
          </w:tcPr>
          <w:p w14:paraId="1E397BCF" w14:textId="77777777" w:rsidR="001916FE" w:rsidRDefault="001916FE" w:rsidP="00212C1F">
            <w:pPr>
              <w:jc w:val="right"/>
              <w:rPr>
                <w:color w:val="000000"/>
              </w:rPr>
            </w:pPr>
            <w:r>
              <w:rPr>
                <w:color w:val="000000"/>
              </w:rPr>
              <w:t>43.2</w:t>
            </w:r>
          </w:p>
        </w:tc>
        <w:tc>
          <w:tcPr>
            <w:tcW w:w="1701" w:type="dxa"/>
            <w:tcBorders>
              <w:top w:val="nil"/>
              <w:left w:val="nil"/>
              <w:right w:val="single" w:sz="8" w:space="0" w:color="auto"/>
            </w:tcBorders>
            <w:noWrap/>
            <w:tcMar>
              <w:top w:w="0" w:type="dxa"/>
              <w:left w:w="108" w:type="dxa"/>
              <w:bottom w:w="0" w:type="dxa"/>
              <w:right w:w="108" w:type="dxa"/>
            </w:tcMar>
            <w:vAlign w:val="bottom"/>
            <w:hideMark/>
          </w:tcPr>
          <w:p w14:paraId="1E4F697A" w14:textId="77777777" w:rsidR="001916FE" w:rsidRDefault="001916FE" w:rsidP="00212C1F">
            <w:pPr>
              <w:jc w:val="right"/>
              <w:rPr>
                <w:color w:val="000000"/>
              </w:rPr>
            </w:pPr>
            <w:r>
              <w:rPr>
                <w:color w:val="000000"/>
              </w:rPr>
              <w:t>39.9</w:t>
            </w:r>
          </w:p>
        </w:tc>
      </w:tr>
      <w:tr w:rsidR="001916FE" w14:paraId="6B2E41EB" w14:textId="77777777" w:rsidTr="009C00DC">
        <w:trPr>
          <w:trHeight w:val="315"/>
        </w:trPr>
        <w:tc>
          <w:tcPr>
            <w:tcW w:w="3107" w:type="dxa"/>
            <w:tcBorders>
              <w:top w:val="nil"/>
              <w:left w:val="single" w:sz="8" w:space="0" w:color="auto"/>
              <w:right w:val="single" w:sz="8" w:space="0" w:color="auto"/>
            </w:tcBorders>
            <w:noWrap/>
            <w:tcMar>
              <w:top w:w="0" w:type="dxa"/>
              <w:left w:w="108" w:type="dxa"/>
              <w:bottom w:w="0" w:type="dxa"/>
              <w:right w:w="108" w:type="dxa"/>
            </w:tcMar>
            <w:vAlign w:val="bottom"/>
          </w:tcPr>
          <w:p w14:paraId="53649A15" w14:textId="77777777" w:rsidR="001916FE" w:rsidRDefault="001916FE" w:rsidP="00212C1F">
            <w:pPr>
              <w:rPr>
                <w:color w:val="000000"/>
              </w:rPr>
            </w:pPr>
            <w:r>
              <w:rPr>
                <w:color w:val="000000"/>
              </w:rPr>
              <w:t>Dom Debt / GDP</w:t>
            </w:r>
          </w:p>
        </w:tc>
        <w:tc>
          <w:tcPr>
            <w:tcW w:w="1417" w:type="dxa"/>
            <w:tcBorders>
              <w:top w:val="nil"/>
              <w:left w:val="nil"/>
              <w:right w:val="single" w:sz="8" w:space="0" w:color="auto"/>
            </w:tcBorders>
            <w:noWrap/>
            <w:tcMar>
              <w:top w:w="0" w:type="dxa"/>
              <w:left w:w="108" w:type="dxa"/>
              <w:bottom w:w="0" w:type="dxa"/>
              <w:right w:w="108" w:type="dxa"/>
            </w:tcMar>
            <w:vAlign w:val="bottom"/>
          </w:tcPr>
          <w:p w14:paraId="5577EED8" w14:textId="77777777" w:rsidR="001916FE" w:rsidRDefault="001916FE" w:rsidP="00212C1F">
            <w:pPr>
              <w:jc w:val="right"/>
              <w:rPr>
                <w:color w:val="000000"/>
              </w:rPr>
            </w:pPr>
            <w:r>
              <w:rPr>
                <w:color w:val="000000"/>
              </w:rPr>
              <w:t>10.0</w:t>
            </w:r>
          </w:p>
        </w:tc>
        <w:tc>
          <w:tcPr>
            <w:tcW w:w="1701" w:type="dxa"/>
            <w:tcBorders>
              <w:top w:val="nil"/>
              <w:left w:val="nil"/>
              <w:right w:val="single" w:sz="8" w:space="0" w:color="auto"/>
            </w:tcBorders>
            <w:noWrap/>
            <w:tcMar>
              <w:top w:w="0" w:type="dxa"/>
              <w:left w:w="108" w:type="dxa"/>
              <w:bottom w:w="0" w:type="dxa"/>
              <w:right w:w="108" w:type="dxa"/>
            </w:tcMar>
            <w:vAlign w:val="bottom"/>
          </w:tcPr>
          <w:p w14:paraId="7512BECA" w14:textId="77777777" w:rsidR="001916FE" w:rsidRDefault="001916FE" w:rsidP="00212C1F">
            <w:pPr>
              <w:jc w:val="right"/>
              <w:rPr>
                <w:color w:val="000000"/>
              </w:rPr>
            </w:pPr>
            <w:r>
              <w:rPr>
                <w:color w:val="000000"/>
              </w:rPr>
              <w:t>12.5</w:t>
            </w:r>
          </w:p>
        </w:tc>
      </w:tr>
      <w:tr w:rsidR="001916FE" w14:paraId="2D1BE201" w14:textId="77777777" w:rsidTr="009C00DC">
        <w:trPr>
          <w:trHeight w:val="315"/>
        </w:trPr>
        <w:tc>
          <w:tcPr>
            <w:tcW w:w="3107"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A3BBFF" w14:textId="77777777" w:rsidR="001916FE" w:rsidRDefault="001916FE" w:rsidP="00212C1F">
            <w:pPr>
              <w:rPr>
                <w:color w:val="000000"/>
              </w:rPr>
            </w:pPr>
            <w:r>
              <w:rPr>
                <w:color w:val="000000"/>
              </w:rPr>
              <w:t>Adjusted Nominal Debt/GDP</w:t>
            </w:r>
          </w:p>
        </w:tc>
        <w:tc>
          <w:tcPr>
            <w:tcW w:w="1417" w:type="dxa"/>
            <w:tcBorders>
              <w:left w:val="nil"/>
              <w:bottom w:val="single" w:sz="8" w:space="0" w:color="auto"/>
              <w:right w:val="single" w:sz="8" w:space="0" w:color="auto"/>
            </w:tcBorders>
            <w:noWrap/>
            <w:tcMar>
              <w:top w:w="0" w:type="dxa"/>
              <w:left w:w="108" w:type="dxa"/>
              <w:bottom w:w="0" w:type="dxa"/>
              <w:right w:w="108" w:type="dxa"/>
            </w:tcMar>
            <w:vAlign w:val="bottom"/>
            <w:hideMark/>
          </w:tcPr>
          <w:p w14:paraId="6C700791" w14:textId="77777777" w:rsidR="001916FE" w:rsidRDefault="001916FE" w:rsidP="00212C1F">
            <w:pPr>
              <w:jc w:val="right"/>
              <w:rPr>
                <w:color w:val="000000"/>
              </w:rPr>
            </w:pPr>
            <w:r>
              <w:rPr>
                <w:color w:val="000000"/>
              </w:rPr>
              <w:t>53.2</w:t>
            </w:r>
          </w:p>
        </w:tc>
        <w:tc>
          <w:tcPr>
            <w:tcW w:w="1701" w:type="dxa"/>
            <w:tcBorders>
              <w:left w:val="nil"/>
              <w:bottom w:val="single" w:sz="8" w:space="0" w:color="auto"/>
              <w:right w:val="single" w:sz="8" w:space="0" w:color="auto"/>
            </w:tcBorders>
            <w:noWrap/>
            <w:tcMar>
              <w:top w:w="0" w:type="dxa"/>
              <w:left w:w="108" w:type="dxa"/>
              <w:bottom w:w="0" w:type="dxa"/>
              <w:right w:w="108" w:type="dxa"/>
            </w:tcMar>
            <w:vAlign w:val="bottom"/>
            <w:hideMark/>
          </w:tcPr>
          <w:p w14:paraId="20DF2F07" w14:textId="77777777" w:rsidR="001916FE" w:rsidRDefault="001916FE" w:rsidP="00212C1F">
            <w:pPr>
              <w:jc w:val="right"/>
              <w:rPr>
                <w:color w:val="000000"/>
              </w:rPr>
            </w:pPr>
            <w:r>
              <w:rPr>
                <w:color w:val="000000"/>
              </w:rPr>
              <w:t>52.4</w:t>
            </w:r>
          </w:p>
        </w:tc>
      </w:tr>
    </w:tbl>
    <w:p w14:paraId="2100CB57" w14:textId="77777777" w:rsidR="001916FE" w:rsidRDefault="001916FE" w:rsidP="009C00DC">
      <w:pPr>
        <w:pStyle w:val="ListParagraph"/>
        <w:ind w:left="360"/>
        <w:jc w:val="both"/>
      </w:pPr>
    </w:p>
    <w:p w14:paraId="62759DB7" w14:textId="1AF4328A" w:rsidR="009545C3" w:rsidRDefault="009545C3" w:rsidP="009545C3">
      <w:pPr>
        <w:pStyle w:val="ListParagraph"/>
        <w:numPr>
          <w:ilvl w:val="0"/>
          <w:numId w:val="3"/>
        </w:numPr>
        <w:jc w:val="both"/>
      </w:pPr>
      <w:r>
        <w:t>Given the high degree of dollarization of the economy, it will be imperative for the government to devise a strategy for expanding domestic debt issuance within a holistic macro-financial strategy for de-</w:t>
      </w:r>
      <w:proofErr w:type="gramStart"/>
      <w:r>
        <w:t>dollarization which</w:t>
      </w:r>
      <w:proofErr w:type="gramEnd"/>
      <w:r>
        <w:t xml:space="preserve"> could gradually reduce the share of foreign currency debt and </w:t>
      </w:r>
      <w:r w:rsidR="00D71450">
        <w:t xml:space="preserve">associated </w:t>
      </w:r>
      <w:r>
        <w:t>risks. Such a strategy should also be comple</w:t>
      </w:r>
      <w:r w:rsidR="00E730C2">
        <w:t>men</w:t>
      </w:r>
      <w:r>
        <w:t xml:space="preserve">ted by monetary and financial sector </w:t>
      </w:r>
      <w:proofErr w:type="gramStart"/>
      <w:r>
        <w:t>reforms that supports</w:t>
      </w:r>
      <w:proofErr w:type="gramEnd"/>
      <w:r>
        <w:t xml:space="preserve"> the development of the debt market. It </w:t>
      </w:r>
      <w:proofErr w:type="gramStart"/>
      <w:r>
        <w:t>is therefore recommended</w:t>
      </w:r>
      <w:proofErr w:type="gramEnd"/>
      <w:r>
        <w:t xml:space="preserve"> to analyze </w:t>
      </w:r>
      <w:r w:rsidRPr="00C61BA1">
        <w:rPr>
          <w:rFonts w:eastAsia="Times New Roman" w:cs="Arial"/>
          <w:lang w:eastAsia="en-GB"/>
        </w:rPr>
        <w:t xml:space="preserve">the </w:t>
      </w:r>
      <w:r>
        <w:rPr>
          <w:rFonts w:eastAsia="Times New Roman" w:cs="Arial"/>
          <w:lang w:eastAsia="en-GB"/>
        </w:rPr>
        <w:t xml:space="preserve">macroeconomic </w:t>
      </w:r>
      <w:r w:rsidRPr="00C61BA1">
        <w:rPr>
          <w:rFonts w:eastAsia="Times New Roman" w:cs="Arial"/>
          <w:lang w:eastAsia="en-GB"/>
        </w:rPr>
        <w:t xml:space="preserve">implications of a faster </w:t>
      </w:r>
      <w:r>
        <w:rPr>
          <w:rFonts w:eastAsia="Times New Roman" w:cs="Arial"/>
          <w:lang w:eastAsia="en-GB"/>
        </w:rPr>
        <w:t xml:space="preserve">refinancing of </w:t>
      </w:r>
      <w:r w:rsidRPr="00C61BA1">
        <w:rPr>
          <w:rFonts w:eastAsia="Times New Roman" w:cs="Arial"/>
          <w:lang w:eastAsia="en-GB"/>
        </w:rPr>
        <w:t>foreign-currency debt through domestic currency debt issuance</w:t>
      </w:r>
      <w:r>
        <w:rPr>
          <w:rFonts w:eastAsia="Times New Roman" w:cs="Arial"/>
          <w:lang w:eastAsia="en-GB"/>
        </w:rPr>
        <w:t xml:space="preserve">. The performance of such alternative strategy </w:t>
      </w:r>
      <w:proofErr w:type="gramStart"/>
      <w:r>
        <w:rPr>
          <w:rFonts w:eastAsia="Times New Roman" w:cs="Arial"/>
          <w:lang w:eastAsia="en-GB"/>
        </w:rPr>
        <w:t xml:space="preserve">should also be </w:t>
      </w:r>
      <w:r>
        <w:t>analyzed</w:t>
      </w:r>
      <w:proofErr w:type="gramEnd"/>
      <w:r>
        <w:t xml:space="preserve"> within </w:t>
      </w:r>
      <w:r w:rsidR="007C343F">
        <w:t xml:space="preserve">a more realistic </w:t>
      </w:r>
      <w:r>
        <w:t xml:space="preserve">cost-risk trade-off analysis </w:t>
      </w:r>
      <w:r w:rsidR="00E730C2">
        <w:t xml:space="preserve">of </w:t>
      </w:r>
      <w:r>
        <w:t>MTDS. Given Armenia’s recent history of bouts in macroeconomic instability, the analysis should also consider the insurance cost of greater resilience achieved through a lower share of external debt.</w:t>
      </w:r>
      <w:r w:rsidR="00DB2BA4">
        <w:t xml:space="preserve"> At the same time, the qualitative </w:t>
      </w:r>
      <w:r w:rsidR="00DB2BA4">
        <w:lastRenderedPageBreak/>
        <w:t>analysis should attempt to price in a premium reflecting the benefits of a developed financial market through a deep and diversified government securities market.</w:t>
      </w:r>
      <w:r w:rsidR="007C343F">
        <w:t xml:space="preserve"> </w:t>
      </w:r>
      <w:r w:rsidR="00DB2BA4">
        <w:t xml:space="preserve"> </w:t>
      </w:r>
    </w:p>
    <w:p w14:paraId="5530669F" w14:textId="77777777" w:rsidR="009545C3" w:rsidRDefault="009545C3" w:rsidP="009545C3">
      <w:pPr>
        <w:pStyle w:val="ListParagraph"/>
      </w:pPr>
    </w:p>
    <w:p w14:paraId="5680DA89" w14:textId="77777777" w:rsidR="00B148B3" w:rsidRDefault="009545C3" w:rsidP="009545C3">
      <w:pPr>
        <w:pStyle w:val="ListParagraph"/>
        <w:numPr>
          <w:ilvl w:val="0"/>
          <w:numId w:val="3"/>
        </w:numPr>
        <w:jc w:val="both"/>
      </w:pPr>
      <w:r>
        <w:t>A related issue that is emerging for Armenia is the refinancing of the US$ 500.1 m Eurobond that matures in September 2020. According to current MTDS estimates, maturing external debt in 2020 will account for 35.2 percent of foreign exchange reserves (Figure 5). Against a macroeconomic outlook of widening current account deficit and weak foreign investment flows, redemption of the 2020 Eurobond could be a challenge for the Government.</w:t>
      </w:r>
    </w:p>
    <w:p w14:paraId="02450EB5" w14:textId="77777777" w:rsidR="00B148B3" w:rsidRDefault="00B148B3" w:rsidP="00B148B3">
      <w:pPr>
        <w:pStyle w:val="ListParagraph"/>
      </w:pPr>
    </w:p>
    <w:p w14:paraId="78A7E434" w14:textId="77777777" w:rsidR="00B148B3" w:rsidRPr="00AB7AB9" w:rsidRDefault="00B148B3" w:rsidP="00B148B3">
      <w:pPr>
        <w:pStyle w:val="ListParagraph"/>
        <w:numPr>
          <w:ilvl w:val="0"/>
          <w:numId w:val="3"/>
        </w:numPr>
        <w:jc w:val="both"/>
      </w:pPr>
      <w:r>
        <w:t xml:space="preserve">The current MTDS assumes refinancing through the issuance of a 10-year Eurobond for US$ 483 m in 2020. </w:t>
      </w:r>
      <w:proofErr w:type="gramStart"/>
      <w:r>
        <w:t>However, given the weak macroeconomic outlook for Armenia and the impending increase in US interest rates by 75 basis points in 2018 along with the potential for capital reversals and exchange rate volatility in emerging market economies, the interest rate for issuing Eurobonds could be significantly higher than 7.7 percent assumed in the MTDS analysis which could further aggravate the debt burden.</w:t>
      </w:r>
      <w:proofErr w:type="gramEnd"/>
      <w:r>
        <w:t xml:space="preserve">                    </w:t>
      </w:r>
      <w:r>
        <w:rPr>
          <w:rFonts w:eastAsia="Times New Roman"/>
        </w:rPr>
        <w:t xml:space="preserve"> </w:t>
      </w:r>
    </w:p>
    <w:p w14:paraId="3CDDC63E" w14:textId="451BCC7E" w:rsidR="009545C3" w:rsidRDefault="009545C3" w:rsidP="00B148B3">
      <w:pPr>
        <w:pStyle w:val="ListParagraph"/>
        <w:ind w:left="360"/>
        <w:jc w:val="both"/>
      </w:pPr>
      <w:r>
        <w:t xml:space="preserve">  </w:t>
      </w:r>
    </w:p>
    <w:p w14:paraId="230B0241" w14:textId="77777777" w:rsidR="009545C3" w:rsidRDefault="009545C3" w:rsidP="009545C3">
      <w:pPr>
        <w:pStyle w:val="ListParagraph"/>
      </w:pPr>
    </w:p>
    <w:p w14:paraId="78624742" w14:textId="77777777" w:rsidR="009545C3" w:rsidRPr="00B00F66" w:rsidRDefault="009545C3" w:rsidP="009545C3">
      <w:pPr>
        <w:ind w:firstLine="720"/>
        <w:rPr>
          <w:rFonts w:cs="Arial"/>
        </w:rPr>
      </w:pPr>
      <w:r w:rsidRPr="00B00F66">
        <w:rPr>
          <w:rFonts w:cs="Arial"/>
        </w:rPr>
        <w:t>Figure 5: Liquidity Coverage of Forex Reserves on Maturing External Debt</w:t>
      </w:r>
    </w:p>
    <w:p w14:paraId="6D54B266" w14:textId="4347F713" w:rsidR="009545C3" w:rsidRDefault="009C00DC" w:rsidP="009545C3">
      <w:pPr>
        <w:ind w:firstLine="720"/>
        <w:rPr>
          <w:rFonts w:cs="Arial"/>
          <w:b/>
          <w:color w:val="FF0000"/>
          <w:sz w:val="20"/>
          <w:szCs w:val="20"/>
        </w:rPr>
      </w:pPr>
      <w:r>
        <w:rPr>
          <w:rFonts w:cs="Arial"/>
          <w:b/>
          <w:noProof/>
          <w:color w:val="FF0000"/>
          <w:sz w:val="20"/>
          <w:szCs w:val="20"/>
          <w:lang w:eastAsia="en-US"/>
        </w:rPr>
        <w:drawing>
          <wp:inline distT="0" distB="0" distL="0" distR="0" wp14:anchorId="49CFDFE2" wp14:editId="5B9020D2">
            <wp:extent cx="4907915" cy="28778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7915" cy="2877820"/>
                    </a:xfrm>
                    <a:prstGeom prst="rect">
                      <a:avLst/>
                    </a:prstGeom>
                    <a:noFill/>
                  </pic:spPr>
                </pic:pic>
              </a:graphicData>
            </a:graphic>
          </wp:inline>
        </w:drawing>
      </w:r>
    </w:p>
    <w:p w14:paraId="654CE3F8" w14:textId="77777777" w:rsidR="009545C3" w:rsidRPr="00B00F66" w:rsidRDefault="009545C3" w:rsidP="009545C3">
      <w:pPr>
        <w:pStyle w:val="ListParagraph"/>
        <w:ind w:left="360"/>
        <w:jc w:val="both"/>
        <w:rPr>
          <w:sz w:val="18"/>
          <w:szCs w:val="18"/>
        </w:rPr>
      </w:pPr>
      <w:r w:rsidRPr="00B00F66">
        <w:rPr>
          <w:sz w:val="18"/>
          <w:szCs w:val="18"/>
        </w:rPr>
        <w:t>Source: MTDS 2018-20</w:t>
      </w:r>
    </w:p>
    <w:p w14:paraId="51D2971B" w14:textId="77777777" w:rsidR="009545C3" w:rsidRDefault="009545C3" w:rsidP="009545C3">
      <w:pPr>
        <w:pStyle w:val="ListParagraph"/>
      </w:pPr>
    </w:p>
    <w:p w14:paraId="3E672682" w14:textId="25545047" w:rsidR="009545C3" w:rsidRDefault="009545C3" w:rsidP="009545C3">
      <w:pPr>
        <w:pStyle w:val="ListParagraph"/>
        <w:numPr>
          <w:ilvl w:val="0"/>
          <w:numId w:val="3"/>
        </w:numPr>
        <w:jc w:val="both"/>
      </w:pPr>
      <w:r>
        <w:t>Eurobonds issued by Armenia has so far served to finance its fiscal and external sector gap. Armenia has not benefitted from other externalities associated with sovereign bond issuance. The value of these two Eurobond issuances in the Dublin Exchange as a benchmark for non-sovereign Armenian issuances has been limited (to none).</w:t>
      </w:r>
      <w:r>
        <w:rPr>
          <w:rStyle w:val="FootnoteReference"/>
        </w:rPr>
        <w:footnoteReference w:id="16"/>
      </w:r>
      <w:r>
        <w:t xml:space="preserve"> </w:t>
      </w:r>
      <w:proofErr w:type="gramStart"/>
      <w:r>
        <w:t>Thus, solutions to address the two redemption challenges posed by past Eurobond issuances must fit within the guiding strategy for Armenia’s public debt management and macro-fiscal strategy going forward, which has the following macro objectives: gradually reduce the exposure to exchange-rate risks and develop local debt markets in AMD to reduce liquidity premiums along the yield curve and strike a more optimal public debt time profile (balancing cost implications of the term premium against refinancing risks).</w:t>
      </w:r>
      <w:proofErr w:type="gramEnd"/>
      <w:r w:rsidR="00191D6D">
        <w:t xml:space="preserve"> A detailed analysis of the </w:t>
      </w:r>
      <w:r w:rsidR="00191D6D">
        <w:lastRenderedPageBreak/>
        <w:t xml:space="preserve">challenges and opportunities related to Eurobond redemption in the context of debt management strategy </w:t>
      </w:r>
      <w:proofErr w:type="gramStart"/>
      <w:r w:rsidR="00191D6D">
        <w:t>is provided</w:t>
      </w:r>
      <w:proofErr w:type="gramEnd"/>
      <w:r w:rsidR="00191D6D">
        <w:t xml:space="preserve"> in Section IV.</w:t>
      </w:r>
    </w:p>
    <w:p w14:paraId="163D2790" w14:textId="77777777" w:rsidR="009545C3" w:rsidRDefault="009545C3" w:rsidP="009545C3">
      <w:pPr>
        <w:pStyle w:val="ListParagraph"/>
        <w:ind w:left="360"/>
        <w:jc w:val="both"/>
      </w:pPr>
    </w:p>
    <w:p w14:paraId="43238D17" w14:textId="77777777" w:rsidR="009545C3" w:rsidRDefault="009545C3" w:rsidP="009545C3">
      <w:pPr>
        <w:pStyle w:val="ListParagraph"/>
        <w:numPr>
          <w:ilvl w:val="0"/>
          <w:numId w:val="3"/>
        </w:numPr>
        <w:jc w:val="both"/>
      </w:pPr>
      <w:r>
        <w:t>Assuming that no further benchmarking value is recognized in maintaining sovereign Eurobonds outstanding in international markets, the objective should be to gradually retire the maturing $1.1 billion of debt by a combination of the following options:</w:t>
      </w:r>
    </w:p>
    <w:p w14:paraId="45E873A9" w14:textId="36DEA86B" w:rsidR="009545C3" w:rsidRDefault="009545C3" w:rsidP="009545C3">
      <w:pPr>
        <w:pStyle w:val="ListParagraph"/>
        <w:numPr>
          <w:ilvl w:val="0"/>
          <w:numId w:val="34"/>
        </w:numPr>
        <w:spacing w:after="200" w:line="276" w:lineRule="auto"/>
        <w:jc w:val="both"/>
      </w:pPr>
      <w:r>
        <w:t xml:space="preserve">A compact of dedicated program loans from IFIs, underpinned by a sustained objective of buying back outstanding Eurobonds from the market and/or refinancing maturing external loans over the next 5 years, thus replacing short-term bullet debt structures with long-term </w:t>
      </w:r>
      <w:r w:rsidR="00161647">
        <w:t>semi-</w:t>
      </w:r>
      <w:r>
        <w:t>concessional debt. This will keep the foreign currency exposure unchanged but smoothen the redemption profile and have lower interest payments;</w:t>
      </w:r>
    </w:p>
    <w:p w14:paraId="01A9FF1A" w14:textId="77777777" w:rsidR="009545C3" w:rsidRDefault="009545C3" w:rsidP="009545C3">
      <w:pPr>
        <w:pStyle w:val="ListParagraph"/>
        <w:numPr>
          <w:ilvl w:val="0"/>
          <w:numId w:val="34"/>
        </w:numPr>
        <w:spacing w:after="200" w:line="276" w:lineRule="auto"/>
        <w:jc w:val="both"/>
      </w:pPr>
      <w:proofErr w:type="gramStart"/>
      <w:r>
        <w:t>A compact of dedicated program loans from IFIs, underpinned by a sustained objective of bolstering the foreign exchange reserves of the country that would help to reduce currency pressure and drive down the local interest rates.</w:t>
      </w:r>
      <w:proofErr w:type="gramEnd"/>
      <w:r>
        <w:t xml:space="preserve"> This could pave the way for the government to issue greater amount of domestic debt in AMD and refinance external loans maturing over the medium term by purchasing foreign currency from the market. Although the composition of the foreign currency debt may remain unchanged initially, this will open up to deepen the domestic debt market at lower cost;</w:t>
      </w:r>
    </w:p>
    <w:p w14:paraId="71AC40B7" w14:textId="77777777" w:rsidR="009545C3" w:rsidRDefault="009545C3" w:rsidP="009545C3">
      <w:pPr>
        <w:pStyle w:val="ListParagraph"/>
        <w:numPr>
          <w:ilvl w:val="0"/>
          <w:numId w:val="34"/>
        </w:numPr>
        <w:spacing w:after="200" w:line="276" w:lineRule="auto"/>
        <w:jc w:val="both"/>
      </w:pPr>
      <w:r>
        <w:t>Currently, residents hold $155m of Eurobonds. A targeted market led debt swap program for residents to replace the foreign currency Eurobonds with domestic bonds denominated in AMD could reduce foreign currency exposure at a higher nominal interest cost due to premiums related to expectation of currency depreciation and liquidity issues.</w:t>
      </w:r>
    </w:p>
    <w:p w14:paraId="783B9621" w14:textId="77777777" w:rsidR="009545C3" w:rsidRDefault="009545C3" w:rsidP="009545C3">
      <w:pPr>
        <w:pStyle w:val="ListParagraph"/>
        <w:rPr>
          <w:rFonts w:cs="Arial"/>
          <w:b/>
          <w:color w:val="000000" w:themeColor="text1"/>
        </w:rPr>
      </w:pPr>
    </w:p>
    <w:p w14:paraId="20FB59B7" w14:textId="77777777" w:rsidR="009545C3" w:rsidRDefault="009545C3" w:rsidP="009545C3">
      <w:pPr>
        <w:pStyle w:val="ListParagraph"/>
        <w:rPr>
          <w:rFonts w:cs="Arial"/>
          <w:b/>
          <w:color w:val="000000" w:themeColor="text1"/>
        </w:rPr>
      </w:pPr>
    </w:p>
    <w:p w14:paraId="65AD8058" w14:textId="77777777" w:rsidR="009545C3" w:rsidRDefault="009545C3" w:rsidP="00466D0E">
      <w:pPr>
        <w:pStyle w:val="Topic2"/>
      </w:pPr>
      <w:bookmarkStart w:id="11" w:name="_Toc506537585"/>
      <w:r>
        <w:t>Issuance Strategy and Domestic Government Securities Market</w:t>
      </w:r>
      <w:bookmarkEnd w:id="11"/>
      <w:r>
        <w:t xml:space="preserve">  </w:t>
      </w:r>
    </w:p>
    <w:p w14:paraId="4C219905" w14:textId="77777777" w:rsidR="009545C3" w:rsidRDefault="009545C3" w:rsidP="009545C3">
      <w:pPr>
        <w:jc w:val="both"/>
      </w:pPr>
    </w:p>
    <w:p w14:paraId="3FF8219E" w14:textId="77777777" w:rsidR="009545C3" w:rsidRPr="00511D2B" w:rsidRDefault="009545C3" w:rsidP="00466D0E">
      <w:pPr>
        <w:pStyle w:val="Topic3"/>
      </w:pPr>
      <w:bookmarkStart w:id="12" w:name="_Toc506537586"/>
      <w:r>
        <w:t>Placement Mechanism</w:t>
      </w:r>
      <w:bookmarkEnd w:id="12"/>
    </w:p>
    <w:p w14:paraId="2D2E8B35" w14:textId="77777777" w:rsidR="009545C3" w:rsidRDefault="009545C3" w:rsidP="009545C3">
      <w:pPr>
        <w:jc w:val="both"/>
      </w:pPr>
    </w:p>
    <w:p w14:paraId="6D9F3DCD" w14:textId="73304186" w:rsidR="009545C3" w:rsidRPr="00CE12F8" w:rsidRDefault="009545C3" w:rsidP="009545C3">
      <w:pPr>
        <w:pStyle w:val="ListParagraph"/>
        <w:numPr>
          <w:ilvl w:val="0"/>
          <w:numId w:val="3"/>
        </w:numPr>
        <w:jc w:val="both"/>
      </w:pPr>
      <w:r w:rsidRPr="00114610">
        <w:rPr>
          <w:rFonts w:eastAsiaTheme="minorHAnsi" w:cs="Arial"/>
          <w:lang w:val="en-GB" w:eastAsia="en-US"/>
        </w:rPr>
        <w:t xml:space="preserve">Government securities (G-Sec) </w:t>
      </w:r>
      <w:proofErr w:type="gramStart"/>
      <w:r w:rsidRPr="00114610">
        <w:rPr>
          <w:rFonts w:eastAsiaTheme="minorHAnsi" w:cs="Arial"/>
          <w:lang w:val="en-GB" w:eastAsia="en-US"/>
        </w:rPr>
        <w:t>are auctioned</w:t>
      </w:r>
      <w:proofErr w:type="gramEnd"/>
      <w:r w:rsidRPr="00114610">
        <w:rPr>
          <w:rFonts w:eastAsiaTheme="minorHAnsi" w:cs="Arial"/>
          <w:lang w:val="en-GB" w:eastAsia="en-US"/>
        </w:rPr>
        <w:t xml:space="preserve"> in the primary market through a primary dealer system. Securities </w:t>
      </w:r>
      <w:proofErr w:type="gramStart"/>
      <w:r w:rsidRPr="00114610">
        <w:rPr>
          <w:rFonts w:eastAsiaTheme="minorHAnsi" w:cs="Arial"/>
          <w:lang w:val="en-GB" w:eastAsia="en-US"/>
        </w:rPr>
        <w:t>are auctioned</w:t>
      </w:r>
      <w:proofErr w:type="gramEnd"/>
      <w:r w:rsidRPr="00114610">
        <w:rPr>
          <w:rFonts w:eastAsiaTheme="minorHAnsi" w:cs="Arial"/>
          <w:lang w:val="en-GB" w:eastAsia="en-US"/>
        </w:rPr>
        <w:t xml:space="preserve"> through a multiple price format using the </w:t>
      </w:r>
      <w:r>
        <w:rPr>
          <w:rFonts w:eastAsiaTheme="minorHAnsi" w:cs="Arial"/>
          <w:lang w:val="en-GB" w:eastAsia="en-US"/>
        </w:rPr>
        <w:t xml:space="preserve">trading platform of </w:t>
      </w:r>
      <w:r w:rsidRPr="00114610">
        <w:rPr>
          <w:rFonts w:eastAsiaTheme="minorHAnsi" w:cs="Arial"/>
          <w:lang w:val="en-GB" w:eastAsia="en-US"/>
        </w:rPr>
        <w:t xml:space="preserve">NASDAQ-OMX stock exchange as an agent, which has recently been shifted away from the central bank. </w:t>
      </w:r>
    </w:p>
    <w:p w14:paraId="1112E19A" w14:textId="77777777" w:rsidR="009545C3" w:rsidRPr="00CE12F8" w:rsidRDefault="009545C3" w:rsidP="009545C3">
      <w:pPr>
        <w:pStyle w:val="ListParagraph"/>
        <w:ind w:left="360"/>
        <w:jc w:val="both"/>
      </w:pPr>
    </w:p>
    <w:p w14:paraId="1C659BCD" w14:textId="114B4870" w:rsidR="009545C3" w:rsidRPr="0028683F" w:rsidRDefault="009545C3" w:rsidP="009545C3">
      <w:pPr>
        <w:pStyle w:val="ListParagraph"/>
        <w:numPr>
          <w:ilvl w:val="0"/>
          <w:numId w:val="3"/>
        </w:numPr>
        <w:jc w:val="both"/>
      </w:pPr>
      <w:r w:rsidRPr="00114610">
        <w:rPr>
          <w:rFonts w:cs="Arial"/>
        </w:rPr>
        <w:t>The auction process is at variable-price</w:t>
      </w:r>
      <w:r>
        <w:rPr>
          <w:rFonts w:cs="Arial"/>
        </w:rPr>
        <w:t xml:space="preserve"> based on competitive bidding</w:t>
      </w:r>
      <w:r w:rsidR="00161647">
        <w:rPr>
          <w:rFonts w:cs="Arial"/>
        </w:rPr>
        <w:t>.</w:t>
      </w:r>
      <w:r w:rsidRPr="00114610">
        <w:rPr>
          <w:rFonts w:cs="Arial"/>
        </w:rPr>
        <w:t xml:space="preserve"> </w:t>
      </w:r>
      <w:r w:rsidR="00161647">
        <w:rPr>
          <w:rFonts w:cs="Arial"/>
        </w:rPr>
        <w:t xml:space="preserve">In cases where there is a significant difference between the price of bids, auction allocation is undertaken based on a </w:t>
      </w:r>
      <w:r w:rsidRPr="00114610">
        <w:rPr>
          <w:rFonts w:cs="Arial"/>
        </w:rPr>
        <w:t>cut-off established by MoF</w:t>
      </w:r>
      <w:r w:rsidR="00161647">
        <w:rPr>
          <w:rFonts w:cs="Arial"/>
        </w:rPr>
        <w:t>.</w:t>
      </w:r>
      <w:r>
        <w:rPr>
          <w:rFonts w:cs="Arial"/>
        </w:rPr>
        <w:t xml:space="preserve">The central depository for G-Sec is provided by the CBA. </w:t>
      </w:r>
      <w:r w:rsidRPr="00114610">
        <w:rPr>
          <w:rFonts w:cs="Arial"/>
        </w:rPr>
        <w:t xml:space="preserve">Clearing and settlement </w:t>
      </w:r>
      <w:proofErr w:type="gramStart"/>
      <w:r w:rsidRPr="00114610">
        <w:rPr>
          <w:rFonts w:cs="Arial"/>
        </w:rPr>
        <w:t>are done</w:t>
      </w:r>
      <w:proofErr w:type="gramEnd"/>
      <w:r w:rsidRPr="00114610">
        <w:rPr>
          <w:rFonts w:cs="Arial"/>
        </w:rPr>
        <w:t xml:space="preserve"> within CBA, which manages the payment system</w:t>
      </w:r>
      <w:r>
        <w:rPr>
          <w:rFonts w:cs="Arial"/>
        </w:rPr>
        <w:t>.</w:t>
      </w:r>
    </w:p>
    <w:p w14:paraId="0116CC90" w14:textId="77777777" w:rsidR="009545C3" w:rsidRPr="00114610" w:rsidRDefault="009545C3" w:rsidP="009545C3">
      <w:pPr>
        <w:pStyle w:val="ListParagraph"/>
        <w:ind w:left="360"/>
        <w:jc w:val="both"/>
      </w:pPr>
    </w:p>
    <w:p w14:paraId="62B24F8E" w14:textId="77777777" w:rsidR="009545C3" w:rsidRPr="0028683F" w:rsidRDefault="009545C3" w:rsidP="009545C3">
      <w:pPr>
        <w:pStyle w:val="ListParagraph"/>
        <w:numPr>
          <w:ilvl w:val="0"/>
          <w:numId w:val="3"/>
        </w:numPr>
        <w:jc w:val="both"/>
        <w:rPr>
          <w:rFonts w:cs="Arial"/>
        </w:rPr>
      </w:pPr>
      <w:r w:rsidRPr="0028683F">
        <w:rPr>
          <w:rFonts w:cs="Arial"/>
          <w:lang w:val="af-ZA"/>
        </w:rPr>
        <w:t xml:space="preserve">The bond instruments sold through the Treasury's custodian for retail investments have been extended from savings coupon bonds T-bills to mediumd-term and long-term bonds. Allocation to agents and retail investors are made at the weighted average weighted yields for an autcion. </w:t>
      </w:r>
    </w:p>
    <w:p w14:paraId="6DA2F0F9" w14:textId="77777777" w:rsidR="009545C3" w:rsidRDefault="009545C3" w:rsidP="009545C3">
      <w:pPr>
        <w:pStyle w:val="ListParagraph"/>
        <w:ind w:left="360"/>
        <w:jc w:val="both"/>
      </w:pPr>
    </w:p>
    <w:p w14:paraId="1F036576" w14:textId="1026BA0C" w:rsidR="009545C3" w:rsidRPr="00061548" w:rsidRDefault="009545C3" w:rsidP="009545C3">
      <w:pPr>
        <w:pStyle w:val="ListParagraph"/>
        <w:numPr>
          <w:ilvl w:val="0"/>
          <w:numId w:val="3"/>
        </w:numPr>
        <w:jc w:val="both"/>
      </w:pPr>
      <w:r w:rsidRPr="00061548">
        <w:rPr>
          <w:rFonts w:eastAsiaTheme="minorHAnsi" w:cs="Arial"/>
          <w:lang w:val="en-GB" w:eastAsia="en-US"/>
        </w:rPr>
        <w:t xml:space="preserve">As dealers / agents, the banks are required to provide simultaneous bid and ask quotes of a specified benchmark government bonds in the NASDAQ OMX Armenia trading system. The market for hedging instruments including interest rate swaps in Armenia </w:t>
      </w:r>
      <w:proofErr w:type="gramStart"/>
      <w:r w:rsidRPr="00061548">
        <w:rPr>
          <w:rFonts w:eastAsiaTheme="minorHAnsi" w:cs="Arial"/>
          <w:lang w:val="en-GB" w:eastAsia="en-US"/>
        </w:rPr>
        <w:t xml:space="preserve">is not well </w:t>
      </w:r>
      <w:r w:rsidRPr="00061548">
        <w:rPr>
          <w:rFonts w:eastAsiaTheme="minorHAnsi" w:cs="Arial"/>
          <w:lang w:val="en-GB" w:eastAsia="en-US"/>
        </w:rPr>
        <w:lastRenderedPageBreak/>
        <w:t>developed</w:t>
      </w:r>
      <w:proofErr w:type="gramEnd"/>
      <w:r w:rsidRPr="00061548">
        <w:rPr>
          <w:rFonts w:eastAsiaTheme="minorHAnsi" w:cs="Arial"/>
          <w:lang w:val="en-GB" w:eastAsia="en-US"/>
        </w:rPr>
        <w:t xml:space="preserve">, which constrain the capacity of primary dealers to warehouse G-Sec. This </w:t>
      </w:r>
      <w:proofErr w:type="gramStart"/>
      <w:r w:rsidRPr="00061548">
        <w:rPr>
          <w:rFonts w:eastAsiaTheme="minorHAnsi" w:cs="Arial"/>
          <w:lang w:val="en-GB" w:eastAsia="en-US"/>
        </w:rPr>
        <w:t>impacts</w:t>
      </w:r>
      <w:proofErr w:type="gramEnd"/>
      <w:r w:rsidRPr="00061548">
        <w:rPr>
          <w:rFonts w:eastAsiaTheme="minorHAnsi" w:cs="Arial"/>
          <w:lang w:val="en-GB" w:eastAsia="en-US"/>
        </w:rPr>
        <w:t xml:space="preserve"> the absorption capacity of G-Sec by the market. </w:t>
      </w:r>
    </w:p>
    <w:p w14:paraId="60583403" w14:textId="77777777" w:rsidR="009545C3" w:rsidRPr="00061548" w:rsidRDefault="009545C3" w:rsidP="009545C3">
      <w:pPr>
        <w:pStyle w:val="ListParagraph"/>
        <w:ind w:left="360"/>
        <w:jc w:val="both"/>
      </w:pPr>
    </w:p>
    <w:p w14:paraId="32D03041" w14:textId="60D8BBA0" w:rsidR="009545C3" w:rsidRPr="00061548" w:rsidRDefault="009545C3" w:rsidP="009545C3">
      <w:pPr>
        <w:pStyle w:val="ListParagraph"/>
        <w:numPr>
          <w:ilvl w:val="0"/>
          <w:numId w:val="3"/>
        </w:numPr>
        <w:jc w:val="both"/>
      </w:pPr>
      <w:proofErr w:type="gramStart"/>
      <w:r>
        <w:rPr>
          <w:rFonts w:eastAsia="Times New Roman" w:cs="Arial"/>
        </w:rPr>
        <w:t>Issuance of G-Secs are</w:t>
      </w:r>
      <w:proofErr w:type="gramEnd"/>
      <w:r>
        <w:rPr>
          <w:rFonts w:eastAsia="Times New Roman" w:cs="Arial"/>
        </w:rPr>
        <w:t xml:space="preserve"> undertaken in conformity with the auctioning calendar. </w:t>
      </w:r>
      <w:r w:rsidRPr="00061548">
        <w:rPr>
          <w:rFonts w:eastAsiaTheme="minorHAnsi" w:cs="Arial"/>
          <w:lang w:val="en-GB" w:eastAsia="en-US"/>
        </w:rPr>
        <w:t xml:space="preserve">Each December, the PDMD publishes an annual calendar </w:t>
      </w:r>
      <w:r>
        <w:rPr>
          <w:rFonts w:eastAsiaTheme="minorHAnsi" w:cs="Arial"/>
          <w:lang w:val="en-GB" w:eastAsia="en-US"/>
        </w:rPr>
        <w:t xml:space="preserve">for the next year </w:t>
      </w:r>
      <w:r w:rsidRPr="00061548">
        <w:rPr>
          <w:rFonts w:eastAsiaTheme="minorHAnsi" w:cs="Arial"/>
          <w:lang w:val="en-GB" w:eastAsia="en-US"/>
        </w:rPr>
        <w:t xml:space="preserve">setting the auction schedule, indicating the days of issuance for different types of instruments. </w:t>
      </w:r>
      <w:r>
        <w:rPr>
          <w:rFonts w:eastAsiaTheme="minorHAnsi" w:cs="Arial"/>
          <w:lang w:val="en-GB" w:eastAsia="en-US"/>
        </w:rPr>
        <w:t xml:space="preserve">Based on the auctioning calendar for 2018, </w:t>
      </w:r>
      <w:r w:rsidRPr="00061548">
        <w:rPr>
          <w:rFonts w:eastAsiaTheme="minorHAnsi" w:cs="Arial"/>
          <w:lang w:val="en-GB" w:eastAsia="en-US"/>
        </w:rPr>
        <w:t xml:space="preserve">T-Bills </w:t>
      </w:r>
      <w:proofErr w:type="gramStart"/>
      <w:r>
        <w:rPr>
          <w:rFonts w:eastAsiaTheme="minorHAnsi" w:cs="Arial"/>
          <w:lang w:val="en-GB" w:eastAsia="en-US"/>
        </w:rPr>
        <w:t>will be issued</w:t>
      </w:r>
      <w:proofErr w:type="gramEnd"/>
      <w:r>
        <w:rPr>
          <w:rFonts w:eastAsiaTheme="minorHAnsi" w:cs="Arial"/>
          <w:lang w:val="en-GB" w:eastAsia="en-US"/>
        </w:rPr>
        <w:t xml:space="preserve"> over three weeks within a month </w:t>
      </w:r>
      <w:r w:rsidRPr="00061548">
        <w:rPr>
          <w:rFonts w:eastAsiaTheme="minorHAnsi" w:cs="Arial"/>
          <w:lang w:val="en-GB" w:eastAsia="en-US"/>
        </w:rPr>
        <w:t xml:space="preserve">on </w:t>
      </w:r>
      <w:r>
        <w:rPr>
          <w:rFonts w:eastAsiaTheme="minorHAnsi" w:cs="Arial"/>
          <w:lang w:val="en-GB" w:eastAsia="en-US"/>
        </w:rPr>
        <w:t xml:space="preserve">every </w:t>
      </w:r>
      <w:r w:rsidRPr="00061548">
        <w:rPr>
          <w:rFonts w:eastAsiaTheme="minorHAnsi" w:cs="Arial"/>
          <w:lang w:val="en-GB" w:eastAsia="en-US"/>
        </w:rPr>
        <w:t>Monday. Medium-term Notes</w:t>
      </w:r>
      <w:r>
        <w:rPr>
          <w:rFonts w:eastAsiaTheme="minorHAnsi" w:cs="Arial"/>
          <w:lang w:val="en-GB" w:eastAsia="en-US"/>
        </w:rPr>
        <w:t xml:space="preserve"> of </w:t>
      </w:r>
      <w:r w:rsidRPr="00061548">
        <w:rPr>
          <w:rFonts w:eastAsiaTheme="minorHAnsi" w:cs="Arial"/>
          <w:lang w:val="en-GB" w:eastAsia="en-US"/>
        </w:rPr>
        <w:t xml:space="preserve">3- and 5-year bonds </w:t>
      </w:r>
      <w:proofErr w:type="gramStart"/>
      <w:r>
        <w:rPr>
          <w:rFonts w:eastAsiaTheme="minorHAnsi" w:cs="Arial"/>
          <w:lang w:val="en-GB" w:eastAsia="en-US"/>
        </w:rPr>
        <w:t>will be auctioned</w:t>
      </w:r>
      <w:proofErr w:type="gramEnd"/>
      <w:r>
        <w:rPr>
          <w:rFonts w:eastAsiaTheme="minorHAnsi" w:cs="Arial"/>
          <w:lang w:val="en-GB" w:eastAsia="en-US"/>
        </w:rPr>
        <w:t xml:space="preserve"> </w:t>
      </w:r>
      <w:r w:rsidRPr="00061548">
        <w:rPr>
          <w:rFonts w:eastAsiaTheme="minorHAnsi" w:cs="Arial"/>
          <w:lang w:val="en-GB" w:eastAsia="en-US"/>
        </w:rPr>
        <w:t xml:space="preserve">in the </w:t>
      </w:r>
      <w:r>
        <w:rPr>
          <w:rFonts w:eastAsiaTheme="minorHAnsi" w:cs="Arial"/>
          <w:lang w:val="en-GB" w:eastAsia="en-US"/>
        </w:rPr>
        <w:t xml:space="preserve">second and third </w:t>
      </w:r>
      <w:r w:rsidRPr="00061548">
        <w:rPr>
          <w:rFonts w:eastAsiaTheme="minorHAnsi" w:cs="Arial"/>
          <w:lang w:val="en-GB" w:eastAsia="en-US"/>
        </w:rPr>
        <w:t xml:space="preserve">months of </w:t>
      </w:r>
      <w:r>
        <w:rPr>
          <w:rFonts w:eastAsiaTheme="minorHAnsi" w:cs="Arial"/>
          <w:lang w:val="en-GB" w:eastAsia="en-US"/>
        </w:rPr>
        <w:t xml:space="preserve">each quarter on Tuesday. </w:t>
      </w:r>
      <w:r w:rsidR="00161647">
        <w:rPr>
          <w:rFonts w:eastAsiaTheme="minorHAnsi" w:cs="Arial"/>
          <w:lang w:val="en-GB" w:eastAsia="en-US"/>
        </w:rPr>
        <w:t>I</w:t>
      </w:r>
      <w:r>
        <w:rPr>
          <w:rFonts w:eastAsiaTheme="minorHAnsi" w:cs="Arial"/>
          <w:lang w:val="en-GB" w:eastAsia="en-US"/>
        </w:rPr>
        <w:t xml:space="preserve">ssuance of </w:t>
      </w:r>
      <w:r w:rsidR="00161647">
        <w:rPr>
          <w:rFonts w:eastAsiaTheme="minorHAnsi" w:cs="Arial"/>
          <w:lang w:val="en-GB" w:eastAsia="en-US"/>
        </w:rPr>
        <w:t xml:space="preserve">10 and </w:t>
      </w:r>
      <w:r>
        <w:rPr>
          <w:rFonts w:eastAsiaTheme="minorHAnsi" w:cs="Arial"/>
          <w:lang w:val="en-GB" w:eastAsia="en-US"/>
        </w:rPr>
        <w:t xml:space="preserve">30-year bond </w:t>
      </w:r>
      <w:proofErr w:type="gramStart"/>
      <w:r w:rsidR="00161647">
        <w:rPr>
          <w:rFonts w:eastAsiaTheme="minorHAnsi" w:cs="Arial"/>
          <w:lang w:val="en-GB" w:eastAsia="en-US"/>
        </w:rPr>
        <w:t>will be auctioned</w:t>
      </w:r>
      <w:proofErr w:type="gramEnd"/>
      <w:r w:rsidR="00161647">
        <w:rPr>
          <w:rFonts w:eastAsiaTheme="minorHAnsi" w:cs="Arial"/>
          <w:lang w:val="en-GB" w:eastAsia="en-US"/>
        </w:rPr>
        <w:t xml:space="preserve"> in the first month of each quarter on Tuesday</w:t>
      </w:r>
      <w:r>
        <w:rPr>
          <w:rFonts w:eastAsiaTheme="minorHAnsi" w:cs="Arial"/>
          <w:lang w:val="en-GB" w:eastAsia="en-US"/>
        </w:rPr>
        <w:t xml:space="preserve">. The auctioning calendar does not provide any set dates for buybacks. </w:t>
      </w:r>
    </w:p>
    <w:p w14:paraId="77D80D4B" w14:textId="77777777" w:rsidR="009545C3" w:rsidRDefault="009545C3" w:rsidP="009545C3">
      <w:pPr>
        <w:jc w:val="both"/>
      </w:pPr>
    </w:p>
    <w:p w14:paraId="3682F4BA" w14:textId="77777777" w:rsidR="009545C3" w:rsidRDefault="009545C3" w:rsidP="00466D0E">
      <w:pPr>
        <w:pStyle w:val="Topic3"/>
      </w:pPr>
      <w:bookmarkStart w:id="13" w:name="_Toc506537587"/>
      <w:r>
        <w:t xml:space="preserve">Issuance </w:t>
      </w:r>
      <w:r w:rsidRPr="00087C83">
        <w:t>Strateg</w:t>
      </w:r>
      <w:r>
        <w:t>y</w:t>
      </w:r>
      <w:bookmarkEnd w:id="13"/>
    </w:p>
    <w:p w14:paraId="58F34E6C" w14:textId="77777777" w:rsidR="009545C3" w:rsidRPr="000A7247" w:rsidRDefault="009545C3" w:rsidP="009545C3">
      <w:pPr>
        <w:pStyle w:val="ListParagraph"/>
        <w:ind w:left="360"/>
        <w:jc w:val="both"/>
      </w:pPr>
    </w:p>
    <w:p w14:paraId="091470AF" w14:textId="77777777" w:rsidR="009545C3" w:rsidRPr="00576624" w:rsidRDefault="009545C3" w:rsidP="009545C3">
      <w:pPr>
        <w:pStyle w:val="ListParagraph"/>
        <w:numPr>
          <w:ilvl w:val="0"/>
          <w:numId w:val="3"/>
        </w:numPr>
        <w:jc w:val="both"/>
        <w:rPr>
          <w:rFonts w:eastAsia="Times New Roman" w:cs="Arial"/>
          <w:b/>
        </w:rPr>
      </w:pPr>
      <w:r w:rsidRPr="00576624">
        <w:rPr>
          <w:rFonts w:eastAsia="Times New Roman" w:cs="Arial"/>
        </w:rPr>
        <w:t xml:space="preserve">The issuance process </w:t>
      </w:r>
      <w:proofErr w:type="gramStart"/>
      <w:r w:rsidRPr="00576624">
        <w:rPr>
          <w:rFonts w:eastAsia="Times New Roman" w:cs="Arial"/>
        </w:rPr>
        <w:t>is based</w:t>
      </w:r>
      <w:proofErr w:type="gramEnd"/>
      <w:r w:rsidRPr="00576624">
        <w:rPr>
          <w:rFonts w:eastAsia="Times New Roman" w:cs="Arial"/>
        </w:rPr>
        <w:t xml:space="preserve"> on sound international practices with a high degree of transparency. The State Budget published every December provides information on the annual borrowing volumes in net and gross terms from domestic and external sources. An annual borrowing plan is prepared by the PDMD for its internal </w:t>
      </w:r>
      <w:proofErr w:type="gramStart"/>
      <w:r w:rsidRPr="00576624">
        <w:rPr>
          <w:rFonts w:eastAsia="Times New Roman" w:cs="Arial"/>
        </w:rPr>
        <w:t>use w</w:t>
      </w:r>
      <w:r w:rsidRPr="00576624">
        <w:rPr>
          <w:rFonts w:cs="Arial"/>
        </w:rPr>
        <w:t>hich</w:t>
      </w:r>
      <w:proofErr w:type="gramEnd"/>
      <w:r w:rsidRPr="00576624">
        <w:rPr>
          <w:rFonts w:cs="Arial"/>
        </w:rPr>
        <w:t xml:space="preserve"> determines the volumes of issuance </w:t>
      </w:r>
      <w:r>
        <w:rPr>
          <w:rFonts w:cs="Arial"/>
        </w:rPr>
        <w:t xml:space="preserve">for different </w:t>
      </w:r>
      <w:r w:rsidRPr="00576624">
        <w:rPr>
          <w:rFonts w:cs="Arial"/>
        </w:rPr>
        <w:t xml:space="preserve">type </w:t>
      </w:r>
      <w:r>
        <w:rPr>
          <w:rFonts w:cs="Arial"/>
        </w:rPr>
        <w:t xml:space="preserve">of instruments by tenor </w:t>
      </w:r>
      <w:r w:rsidRPr="00576624">
        <w:rPr>
          <w:rFonts w:cs="Arial"/>
        </w:rPr>
        <w:t xml:space="preserve">during the year in line with the MTDS and the state budget financing requirement. </w:t>
      </w:r>
    </w:p>
    <w:p w14:paraId="7033AF2E" w14:textId="77777777" w:rsidR="009545C3" w:rsidRPr="00576624" w:rsidRDefault="009545C3" w:rsidP="009545C3">
      <w:pPr>
        <w:pStyle w:val="ListParagraph"/>
        <w:ind w:left="360"/>
        <w:jc w:val="both"/>
        <w:rPr>
          <w:rFonts w:eastAsia="Times New Roman" w:cs="Arial"/>
          <w:b/>
        </w:rPr>
      </w:pPr>
    </w:p>
    <w:p w14:paraId="09D46E1A" w14:textId="77777777" w:rsidR="009545C3" w:rsidRPr="00576624" w:rsidRDefault="009545C3" w:rsidP="009545C3">
      <w:pPr>
        <w:pStyle w:val="ListParagraph"/>
        <w:numPr>
          <w:ilvl w:val="0"/>
          <w:numId w:val="3"/>
        </w:numPr>
        <w:jc w:val="both"/>
        <w:rPr>
          <w:rFonts w:eastAsia="Times New Roman" w:cs="Arial"/>
          <w:b/>
        </w:rPr>
      </w:pPr>
      <w:r>
        <w:rPr>
          <w:rFonts w:cs="Arial"/>
        </w:rPr>
        <w:t>A</w:t>
      </w:r>
      <w:r w:rsidRPr="00576624">
        <w:rPr>
          <w:rFonts w:cs="Arial"/>
        </w:rPr>
        <w:t xml:space="preserve"> monthly issuance plan providing indicative amounts </w:t>
      </w:r>
      <w:r>
        <w:rPr>
          <w:rFonts w:cs="Arial"/>
        </w:rPr>
        <w:t xml:space="preserve">for different securities </w:t>
      </w:r>
      <w:r w:rsidRPr="00576624">
        <w:rPr>
          <w:rFonts w:cs="Arial"/>
        </w:rPr>
        <w:t xml:space="preserve">to </w:t>
      </w:r>
      <w:proofErr w:type="gramStart"/>
      <w:r w:rsidRPr="00576624">
        <w:rPr>
          <w:rFonts w:cs="Arial"/>
        </w:rPr>
        <w:t>be issued</w:t>
      </w:r>
      <w:proofErr w:type="gramEnd"/>
      <w:r w:rsidRPr="00576624">
        <w:rPr>
          <w:rFonts w:cs="Arial"/>
        </w:rPr>
        <w:t xml:space="preserve"> the next month is announced regularly prior to each month.</w:t>
      </w:r>
      <w:r>
        <w:rPr>
          <w:rFonts w:cs="Arial"/>
        </w:rPr>
        <w:t xml:space="preserve"> The issuance plan also includes information on buyback volume for the identified securities. The government now plans to provide a quarterly issuance </w:t>
      </w:r>
      <w:proofErr w:type="gramStart"/>
      <w:r>
        <w:rPr>
          <w:rFonts w:cs="Arial"/>
        </w:rPr>
        <w:t>plan which</w:t>
      </w:r>
      <w:proofErr w:type="gramEnd"/>
      <w:r>
        <w:rPr>
          <w:rFonts w:cs="Arial"/>
        </w:rPr>
        <w:t xml:space="preserve"> will be an improvement from the monthly issuance plan and would support better market planning and promote more predictability from the issuer.    </w:t>
      </w:r>
    </w:p>
    <w:p w14:paraId="35908E9F" w14:textId="77777777" w:rsidR="009545C3" w:rsidRPr="002A139D" w:rsidRDefault="009545C3" w:rsidP="009545C3">
      <w:pPr>
        <w:pStyle w:val="ListParagraph"/>
        <w:ind w:left="360"/>
        <w:jc w:val="both"/>
        <w:rPr>
          <w:rFonts w:eastAsia="Times New Roman" w:cs="Arial"/>
          <w:b/>
        </w:rPr>
      </w:pPr>
    </w:p>
    <w:p w14:paraId="05BC45ED" w14:textId="2D7083E7" w:rsidR="009545C3" w:rsidRPr="002A139D" w:rsidRDefault="009545C3" w:rsidP="009545C3">
      <w:pPr>
        <w:pStyle w:val="ListParagraph"/>
        <w:numPr>
          <w:ilvl w:val="0"/>
          <w:numId w:val="3"/>
        </w:numPr>
        <w:jc w:val="both"/>
        <w:rPr>
          <w:rFonts w:eastAsia="Times New Roman" w:cs="Arial"/>
          <w:b/>
        </w:rPr>
      </w:pPr>
      <w:r w:rsidRPr="002A139D">
        <w:rPr>
          <w:rFonts w:cs="Arial"/>
        </w:rPr>
        <w:t xml:space="preserve">Full announcement for issuance occurs at least </w:t>
      </w:r>
      <w:proofErr w:type="gramStart"/>
      <w:r w:rsidRPr="002A139D">
        <w:rPr>
          <w:rFonts w:cs="Arial"/>
        </w:rPr>
        <w:t>3</w:t>
      </w:r>
      <w:proofErr w:type="gramEnd"/>
      <w:r w:rsidRPr="002A139D">
        <w:rPr>
          <w:rFonts w:cs="Arial"/>
        </w:rPr>
        <w:t xml:space="preserve"> business days before the auction for T-Bonds. A similar </w:t>
      </w:r>
      <w:proofErr w:type="gramStart"/>
      <w:r w:rsidRPr="002A139D">
        <w:rPr>
          <w:rFonts w:cs="Arial"/>
        </w:rPr>
        <w:t>lead time</w:t>
      </w:r>
      <w:proofErr w:type="gramEnd"/>
      <w:r w:rsidRPr="002A139D">
        <w:rPr>
          <w:rFonts w:cs="Arial"/>
        </w:rPr>
        <w:t xml:space="preserve"> is also practiced for announcement on issuance of T-Bills with more than 13 weeks to maturity. </w:t>
      </w:r>
      <w:r w:rsidR="007C343F">
        <w:rPr>
          <w:rFonts w:cs="Arial"/>
        </w:rPr>
        <w:t xml:space="preserve">International sound practice requires providing at least </w:t>
      </w:r>
      <w:proofErr w:type="gramStart"/>
      <w:r w:rsidR="007C343F">
        <w:rPr>
          <w:rFonts w:cs="Arial"/>
        </w:rPr>
        <w:t>5</w:t>
      </w:r>
      <w:proofErr w:type="gramEnd"/>
      <w:r w:rsidR="007C343F">
        <w:rPr>
          <w:rFonts w:cs="Arial"/>
        </w:rPr>
        <w:t xml:space="preserve"> business days of advance notice for issuance. </w:t>
      </w:r>
      <w:r w:rsidRPr="002A139D">
        <w:rPr>
          <w:rFonts w:cs="Arial"/>
        </w:rPr>
        <w:t xml:space="preserve">However, for T-Bills with less than 13 weeks to maturity, the </w:t>
      </w:r>
      <w:proofErr w:type="gramStart"/>
      <w:r w:rsidRPr="002A139D">
        <w:rPr>
          <w:rFonts w:cs="Arial"/>
        </w:rPr>
        <w:t>lead time</w:t>
      </w:r>
      <w:proofErr w:type="gramEnd"/>
      <w:r w:rsidRPr="002A139D">
        <w:rPr>
          <w:rFonts w:cs="Arial"/>
        </w:rPr>
        <w:t xml:space="preserve"> is reduced to one business day before the auction. The announcement </w:t>
      </w:r>
      <w:proofErr w:type="gramStart"/>
      <w:r w:rsidRPr="002A139D">
        <w:rPr>
          <w:rFonts w:cs="Arial"/>
        </w:rPr>
        <w:t>is posted</w:t>
      </w:r>
      <w:proofErr w:type="gramEnd"/>
      <w:r w:rsidRPr="002A139D">
        <w:rPr>
          <w:rFonts w:cs="Arial"/>
        </w:rPr>
        <w:t xml:space="preserve"> on the websites of both MoF and NASDAQ OMX. </w:t>
      </w:r>
    </w:p>
    <w:p w14:paraId="22D3589C" w14:textId="77777777" w:rsidR="009545C3" w:rsidRDefault="009545C3" w:rsidP="009545C3">
      <w:pPr>
        <w:jc w:val="both"/>
        <w:rPr>
          <w:rFonts w:eastAsia="Times New Roman" w:cs="Arial"/>
          <w:b/>
        </w:rPr>
      </w:pPr>
    </w:p>
    <w:p w14:paraId="20FB2567" w14:textId="25439906" w:rsidR="009545C3" w:rsidRPr="00780E14" w:rsidRDefault="009545C3" w:rsidP="009545C3">
      <w:pPr>
        <w:numPr>
          <w:ilvl w:val="0"/>
          <w:numId w:val="3"/>
        </w:numPr>
        <w:ind w:left="357" w:right="11" w:hanging="357"/>
        <w:jc w:val="both"/>
        <w:rPr>
          <w:rFonts w:cs="Arial"/>
        </w:rPr>
      </w:pPr>
      <w:r w:rsidRPr="00FB0A38">
        <w:rPr>
          <w:rFonts w:cs="Arial"/>
        </w:rPr>
        <w:t xml:space="preserve">At the end of 2017, the bond market </w:t>
      </w:r>
      <w:r>
        <w:rPr>
          <w:rFonts w:cs="Arial"/>
        </w:rPr>
        <w:t xml:space="preserve">is fragmented </w:t>
      </w:r>
      <w:r w:rsidRPr="00FB0A38">
        <w:rPr>
          <w:rFonts w:cs="Arial"/>
        </w:rPr>
        <w:t>compris</w:t>
      </w:r>
      <w:r>
        <w:rPr>
          <w:rFonts w:cs="Arial"/>
        </w:rPr>
        <w:t>ing</w:t>
      </w:r>
      <w:r w:rsidRPr="00FB0A38">
        <w:rPr>
          <w:rFonts w:cs="Arial"/>
        </w:rPr>
        <w:t xml:space="preserve"> 21 lines of securities of varying maturities between 3 to 30 years</w:t>
      </w:r>
      <w:r>
        <w:rPr>
          <w:rFonts w:cs="Arial"/>
        </w:rPr>
        <w:t xml:space="preserve"> of original maturity</w:t>
      </w:r>
      <w:r w:rsidRPr="00FB0A38">
        <w:rPr>
          <w:rFonts w:cs="Arial"/>
        </w:rPr>
        <w:t xml:space="preserve">. Currently, </w:t>
      </w:r>
      <w:proofErr w:type="gramStart"/>
      <w:r w:rsidRPr="00FB0A38">
        <w:rPr>
          <w:rFonts w:cs="Arial"/>
        </w:rPr>
        <w:t>6</w:t>
      </w:r>
      <w:proofErr w:type="gramEnd"/>
      <w:r w:rsidRPr="00FB0A38">
        <w:rPr>
          <w:rFonts w:cs="Arial"/>
        </w:rPr>
        <w:t xml:space="preserve"> benchmark bonds have been designated with key residual maturities of 1, 3, 5, 10, 20 and 30 years</w:t>
      </w:r>
      <w:r>
        <w:rPr>
          <w:rFonts w:cs="Arial"/>
        </w:rPr>
        <w:t xml:space="preserve"> (Table </w:t>
      </w:r>
      <w:r w:rsidR="00A44065">
        <w:rPr>
          <w:rFonts w:cs="Arial"/>
        </w:rPr>
        <w:t>8</w:t>
      </w:r>
      <w:r>
        <w:rPr>
          <w:rFonts w:cs="Arial"/>
        </w:rPr>
        <w:t>)</w:t>
      </w:r>
      <w:r w:rsidRPr="00FB0A38">
        <w:rPr>
          <w:rFonts w:cs="Arial"/>
        </w:rPr>
        <w:t xml:space="preserve">. Issuances during 2017 were limited to </w:t>
      </w:r>
      <w:proofErr w:type="gramStart"/>
      <w:r w:rsidRPr="00FB0A38">
        <w:rPr>
          <w:rFonts w:cs="Arial"/>
        </w:rPr>
        <w:t>3</w:t>
      </w:r>
      <w:proofErr w:type="gramEnd"/>
      <w:r w:rsidRPr="00FB0A38">
        <w:rPr>
          <w:rFonts w:cs="Arial"/>
        </w:rPr>
        <w:t>, 5, 30-year maturities</w:t>
      </w:r>
      <w:r>
        <w:rPr>
          <w:rFonts w:cs="Arial"/>
        </w:rPr>
        <w:t xml:space="preserve"> as re-openings</w:t>
      </w:r>
      <w:r w:rsidRPr="00FB0A38">
        <w:rPr>
          <w:rFonts w:cs="Arial"/>
        </w:rPr>
        <w:t xml:space="preserve">, </w:t>
      </w:r>
      <w:r>
        <w:rPr>
          <w:rFonts w:cs="Arial"/>
        </w:rPr>
        <w:t>while a</w:t>
      </w:r>
      <w:r w:rsidRPr="00FB0A38">
        <w:rPr>
          <w:rFonts w:cs="Arial"/>
        </w:rPr>
        <w:t xml:space="preserve"> 10-year bond was issued as a new line outside the designated benchmark bonds</w:t>
      </w:r>
      <w:r>
        <w:rPr>
          <w:rStyle w:val="FootnoteReference"/>
          <w:rFonts w:cs="Arial"/>
        </w:rPr>
        <w:footnoteReference w:id="17"/>
      </w:r>
      <w:r w:rsidRPr="00FB0A38">
        <w:rPr>
          <w:rFonts w:cs="Arial"/>
        </w:rPr>
        <w:t>. Since the 10-year benchmark bond (</w:t>
      </w:r>
      <w:r w:rsidRPr="00FB0A38">
        <w:rPr>
          <w:rFonts w:eastAsia="Times New Roman" w:cs="Arial"/>
          <w:bCs/>
          <w:lang w:eastAsia="en-GB"/>
        </w:rPr>
        <w:t xml:space="preserve">AMGB1029A250) had a residual maturity of less than 9 years at the beginning of 2017, the new line of 10-year bond </w:t>
      </w:r>
      <w:proofErr w:type="gramStart"/>
      <w:r w:rsidRPr="00FB0A38">
        <w:rPr>
          <w:rFonts w:eastAsia="Times New Roman" w:cs="Arial"/>
          <w:bCs/>
          <w:lang w:eastAsia="en-GB"/>
        </w:rPr>
        <w:t>was issued</w:t>
      </w:r>
      <w:proofErr w:type="gramEnd"/>
      <w:r w:rsidRPr="00FB0A38">
        <w:rPr>
          <w:rFonts w:eastAsia="Times New Roman" w:cs="Arial"/>
          <w:bCs/>
          <w:lang w:eastAsia="en-GB"/>
        </w:rPr>
        <w:t xml:space="preserve"> as a potential new benchmark bond.</w:t>
      </w:r>
    </w:p>
    <w:p w14:paraId="5DD693E4" w14:textId="77777777" w:rsidR="009545C3" w:rsidRDefault="009545C3" w:rsidP="009545C3">
      <w:pPr>
        <w:pStyle w:val="ListParagraph"/>
        <w:rPr>
          <w:rFonts w:eastAsia="Times New Roman" w:cs="Arial"/>
          <w:bCs/>
          <w:lang w:eastAsia="en-GB"/>
        </w:rPr>
      </w:pPr>
    </w:p>
    <w:p w14:paraId="0BF489DE" w14:textId="2D523A32" w:rsidR="009545C3" w:rsidRDefault="009545C3" w:rsidP="009545C3">
      <w:pPr>
        <w:pStyle w:val="ListParagraph"/>
        <w:rPr>
          <w:rFonts w:cs="Arial"/>
        </w:rPr>
      </w:pPr>
      <w:r>
        <w:rPr>
          <w:rFonts w:cs="Arial"/>
        </w:rPr>
        <w:t xml:space="preserve">Table </w:t>
      </w:r>
      <w:r w:rsidR="00A44065">
        <w:rPr>
          <w:rFonts w:cs="Arial"/>
        </w:rPr>
        <w:t>8</w:t>
      </w:r>
      <w:r>
        <w:rPr>
          <w:rFonts w:cs="Arial"/>
        </w:rPr>
        <w:t>: Profile of Benchmark Bonds as on 20 December 2017</w:t>
      </w:r>
    </w:p>
    <w:tbl>
      <w:tblPr>
        <w:tblW w:w="80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0"/>
        <w:gridCol w:w="1552"/>
        <w:gridCol w:w="1745"/>
        <w:gridCol w:w="1259"/>
        <w:gridCol w:w="1534"/>
      </w:tblGrid>
      <w:tr w:rsidR="009545C3" w:rsidRPr="00A44EB7" w14:paraId="7FED698D" w14:textId="77777777" w:rsidTr="00F528C6">
        <w:trPr>
          <w:trHeight w:val="426"/>
        </w:trPr>
        <w:tc>
          <w:tcPr>
            <w:tcW w:w="1928" w:type="dxa"/>
            <w:vMerge w:val="restart"/>
            <w:tcBorders>
              <w:top w:val="single" w:sz="4" w:space="0" w:color="auto"/>
              <w:bottom w:val="single" w:sz="4" w:space="0" w:color="auto"/>
              <w:right w:val="single" w:sz="4" w:space="0" w:color="auto"/>
            </w:tcBorders>
          </w:tcPr>
          <w:p w14:paraId="3F59BCAD" w14:textId="77777777" w:rsidR="009545C3" w:rsidRPr="00A44EB7" w:rsidRDefault="009545C3" w:rsidP="00F528C6">
            <w:pPr>
              <w:rPr>
                <w:rFonts w:ascii="GHEA Grapalat" w:eastAsia="Times New Roman" w:hAnsi="GHEA Grapalat" w:cs="Arial"/>
                <w:sz w:val="20"/>
                <w:szCs w:val="20"/>
                <w:lang w:eastAsia="en-GB"/>
              </w:rPr>
            </w:pPr>
            <w:r>
              <w:rPr>
                <w:rFonts w:ascii="GHEA Grapalat" w:eastAsia="Times New Roman" w:hAnsi="GHEA Grapalat" w:cs="Arial"/>
                <w:sz w:val="20"/>
                <w:szCs w:val="20"/>
                <w:lang w:eastAsia="en-GB"/>
              </w:rPr>
              <w:t>ISIN</w:t>
            </w:r>
          </w:p>
        </w:tc>
        <w:tc>
          <w:tcPr>
            <w:tcW w:w="1572" w:type="dxa"/>
            <w:tcBorders>
              <w:top w:val="single" w:sz="4" w:space="0" w:color="auto"/>
              <w:left w:val="single" w:sz="4" w:space="0" w:color="auto"/>
              <w:bottom w:val="single" w:sz="4" w:space="0" w:color="auto"/>
            </w:tcBorders>
            <w:vAlign w:val="bottom"/>
          </w:tcPr>
          <w:p w14:paraId="70A80712" w14:textId="77777777" w:rsidR="009545C3" w:rsidRPr="00A44EB7" w:rsidRDefault="009545C3" w:rsidP="00F528C6">
            <w:pPr>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Initial Maturity</w:t>
            </w:r>
          </w:p>
        </w:tc>
        <w:tc>
          <w:tcPr>
            <w:tcW w:w="1745" w:type="dxa"/>
            <w:tcBorders>
              <w:top w:val="single" w:sz="4" w:space="0" w:color="auto"/>
              <w:bottom w:val="single" w:sz="4" w:space="0" w:color="auto"/>
              <w:right w:val="single" w:sz="4" w:space="0" w:color="auto"/>
            </w:tcBorders>
            <w:shd w:val="clear" w:color="auto" w:fill="auto"/>
            <w:noWrap/>
            <w:vAlign w:val="bottom"/>
            <w:hideMark/>
          </w:tcPr>
          <w:p w14:paraId="79242FA7" w14:textId="77777777" w:rsidR="009545C3" w:rsidRPr="00A44EB7" w:rsidRDefault="009545C3" w:rsidP="00F528C6">
            <w:pPr>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Residual Maturity</w:t>
            </w:r>
          </w:p>
        </w:tc>
        <w:tc>
          <w:tcPr>
            <w:tcW w:w="2835" w:type="dxa"/>
            <w:gridSpan w:val="2"/>
            <w:tcBorders>
              <w:top w:val="single" w:sz="4" w:space="0" w:color="auto"/>
              <w:left w:val="single" w:sz="4" w:space="0" w:color="auto"/>
              <w:bottom w:val="single" w:sz="4" w:space="0" w:color="auto"/>
            </w:tcBorders>
            <w:vAlign w:val="bottom"/>
          </w:tcPr>
          <w:p w14:paraId="7C450C15" w14:textId="77777777" w:rsidR="009545C3" w:rsidRPr="00A44EB7" w:rsidRDefault="009545C3" w:rsidP="00F528C6">
            <w:pPr>
              <w:rPr>
                <w:rFonts w:ascii="GHEA Grapalat" w:eastAsia="Times New Roman" w:hAnsi="GHEA Grapalat" w:cs="Arial"/>
                <w:sz w:val="20"/>
                <w:szCs w:val="20"/>
                <w:lang w:eastAsia="en-GB"/>
              </w:rPr>
            </w:pPr>
            <w:r>
              <w:rPr>
                <w:rFonts w:ascii="GHEA Grapalat" w:eastAsia="Times New Roman" w:hAnsi="GHEA Grapalat" w:cs="Arial"/>
                <w:sz w:val="20"/>
                <w:szCs w:val="20"/>
                <w:lang w:eastAsia="en-GB"/>
              </w:rPr>
              <w:t>Amount Outstanding</w:t>
            </w:r>
          </w:p>
        </w:tc>
      </w:tr>
      <w:tr w:rsidR="009545C3" w:rsidRPr="00A44EB7" w14:paraId="73DC0D14" w14:textId="77777777" w:rsidTr="00F528C6">
        <w:trPr>
          <w:trHeight w:val="432"/>
        </w:trPr>
        <w:tc>
          <w:tcPr>
            <w:tcW w:w="1928" w:type="dxa"/>
            <w:vMerge/>
            <w:tcBorders>
              <w:top w:val="single" w:sz="4" w:space="0" w:color="auto"/>
              <w:bottom w:val="single" w:sz="4" w:space="0" w:color="auto"/>
              <w:right w:val="single" w:sz="4" w:space="0" w:color="auto"/>
            </w:tcBorders>
          </w:tcPr>
          <w:p w14:paraId="51F74407" w14:textId="77777777" w:rsidR="009545C3" w:rsidRDefault="009545C3" w:rsidP="00F528C6">
            <w:pPr>
              <w:rPr>
                <w:rFonts w:ascii="GHEA Grapalat" w:eastAsia="Times New Roman" w:hAnsi="GHEA Grapalat" w:cs="Arial"/>
                <w:sz w:val="20"/>
                <w:szCs w:val="20"/>
                <w:lang w:eastAsia="en-GB"/>
              </w:rPr>
            </w:pPr>
          </w:p>
        </w:tc>
        <w:tc>
          <w:tcPr>
            <w:tcW w:w="3317" w:type="dxa"/>
            <w:gridSpan w:val="2"/>
            <w:tcBorders>
              <w:top w:val="single" w:sz="4" w:space="0" w:color="auto"/>
              <w:left w:val="single" w:sz="4" w:space="0" w:color="auto"/>
              <w:bottom w:val="single" w:sz="4" w:space="0" w:color="auto"/>
              <w:right w:val="single" w:sz="4" w:space="0" w:color="auto"/>
            </w:tcBorders>
            <w:vAlign w:val="bottom"/>
          </w:tcPr>
          <w:p w14:paraId="15F9997C" w14:textId="77777777" w:rsidR="009545C3" w:rsidRPr="00A44EB7" w:rsidRDefault="009545C3" w:rsidP="00F528C6">
            <w:pPr>
              <w:jc w:val="center"/>
              <w:rPr>
                <w:rFonts w:ascii="GHEA Grapalat" w:eastAsia="Times New Roman" w:hAnsi="GHEA Grapalat" w:cs="Arial"/>
                <w:sz w:val="20"/>
                <w:szCs w:val="20"/>
                <w:lang w:eastAsia="en-GB"/>
              </w:rPr>
            </w:pPr>
            <w:r>
              <w:rPr>
                <w:rFonts w:ascii="GHEA Grapalat" w:eastAsia="Times New Roman" w:hAnsi="GHEA Grapalat" w:cs="Arial"/>
                <w:sz w:val="20"/>
                <w:szCs w:val="20"/>
                <w:lang w:eastAsia="en-GB"/>
              </w:rPr>
              <w:t>(years)</w:t>
            </w:r>
          </w:p>
        </w:tc>
        <w:tc>
          <w:tcPr>
            <w:tcW w:w="1276" w:type="dxa"/>
            <w:tcBorders>
              <w:top w:val="single" w:sz="4" w:space="0" w:color="auto"/>
              <w:left w:val="single" w:sz="4" w:space="0" w:color="auto"/>
              <w:bottom w:val="single" w:sz="4" w:space="0" w:color="auto"/>
            </w:tcBorders>
            <w:vAlign w:val="bottom"/>
          </w:tcPr>
          <w:p w14:paraId="2381F4D4" w14:textId="77777777" w:rsidR="009545C3" w:rsidRDefault="009545C3" w:rsidP="00F528C6">
            <w:pPr>
              <w:rPr>
                <w:rFonts w:ascii="GHEA Grapalat" w:eastAsia="Times New Roman" w:hAnsi="GHEA Grapalat" w:cs="Arial"/>
                <w:sz w:val="20"/>
                <w:szCs w:val="20"/>
                <w:lang w:eastAsia="en-GB"/>
              </w:rPr>
            </w:pPr>
            <w:r>
              <w:rPr>
                <w:rFonts w:ascii="GHEA Grapalat" w:eastAsia="Times New Roman" w:hAnsi="GHEA Grapalat" w:cs="Arial"/>
                <w:sz w:val="20"/>
                <w:szCs w:val="20"/>
                <w:lang w:eastAsia="en-GB"/>
              </w:rPr>
              <w:t>(AMD bn,)</w:t>
            </w:r>
          </w:p>
        </w:tc>
        <w:tc>
          <w:tcPr>
            <w:tcW w:w="1559" w:type="dxa"/>
            <w:tcBorders>
              <w:top w:val="single" w:sz="4" w:space="0" w:color="auto"/>
              <w:bottom w:val="single" w:sz="4" w:space="0" w:color="auto"/>
            </w:tcBorders>
            <w:vAlign w:val="bottom"/>
          </w:tcPr>
          <w:p w14:paraId="4B9A2721" w14:textId="77777777" w:rsidR="009545C3" w:rsidRPr="00A44EB7" w:rsidRDefault="009545C3" w:rsidP="00F528C6">
            <w:pPr>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Share</w:t>
            </w:r>
            <w:r>
              <w:rPr>
                <w:rFonts w:ascii="GHEA Grapalat" w:eastAsia="Times New Roman" w:hAnsi="GHEA Grapalat" w:cs="Arial"/>
                <w:sz w:val="20"/>
                <w:szCs w:val="20"/>
                <w:lang w:eastAsia="en-GB"/>
              </w:rPr>
              <w:t xml:space="preserve"> (%)</w:t>
            </w:r>
          </w:p>
        </w:tc>
      </w:tr>
      <w:tr w:rsidR="009545C3" w:rsidRPr="00A44EB7" w14:paraId="0F3EFC20" w14:textId="77777777" w:rsidTr="00F528C6">
        <w:trPr>
          <w:trHeight w:val="435"/>
        </w:trPr>
        <w:tc>
          <w:tcPr>
            <w:tcW w:w="1928" w:type="dxa"/>
            <w:tcBorders>
              <w:top w:val="single" w:sz="4" w:space="0" w:color="auto"/>
              <w:right w:val="single" w:sz="4" w:space="0" w:color="auto"/>
            </w:tcBorders>
            <w:vAlign w:val="bottom"/>
          </w:tcPr>
          <w:p w14:paraId="5BEEAE47"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bCs/>
                <w:sz w:val="24"/>
                <w:szCs w:val="24"/>
                <w:lang w:eastAsia="en-GB"/>
              </w:rPr>
              <w:t>AMGN36294194</w:t>
            </w:r>
          </w:p>
        </w:tc>
        <w:tc>
          <w:tcPr>
            <w:tcW w:w="1572" w:type="dxa"/>
            <w:tcBorders>
              <w:top w:val="single" w:sz="4" w:space="0" w:color="auto"/>
              <w:left w:val="single" w:sz="4" w:space="0" w:color="auto"/>
              <w:bottom w:val="nil"/>
            </w:tcBorders>
            <w:vAlign w:val="bottom"/>
          </w:tcPr>
          <w:p w14:paraId="6EA0B6ED"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3.0</w:t>
            </w:r>
          </w:p>
        </w:tc>
        <w:tc>
          <w:tcPr>
            <w:tcW w:w="1745" w:type="dxa"/>
            <w:tcBorders>
              <w:top w:val="single" w:sz="4" w:space="0" w:color="auto"/>
              <w:right w:val="single" w:sz="4" w:space="0" w:color="auto"/>
            </w:tcBorders>
            <w:shd w:val="clear" w:color="auto" w:fill="auto"/>
            <w:noWrap/>
            <w:vAlign w:val="bottom"/>
            <w:hideMark/>
          </w:tcPr>
          <w:p w14:paraId="269699D6"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w:t>
            </w:r>
            <w:r>
              <w:rPr>
                <w:rFonts w:ascii="GHEA Grapalat" w:eastAsia="Times New Roman" w:hAnsi="GHEA Grapalat" w:cs="Arial"/>
                <w:sz w:val="20"/>
                <w:szCs w:val="20"/>
                <w:lang w:eastAsia="en-GB"/>
              </w:rPr>
              <w:t>4</w:t>
            </w:r>
          </w:p>
        </w:tc>
        <w:tc>
          <w:tcPr>
            <w:tcW w:w="1276" w:type="dxa"/>
            <w:tcBorders>
              <w:top w:val="single" w:sz="4" w:space="0" w:color="auto"/>
              <w:left w:val="single" w:sz="4" w:space="0" w:color="auto"/>
              <w:bottom w:val="nil"/>
            </w:tcBorders>
            <w:vAlign w:val="bottom"/>
          </w:tcPr>
          <w:p w14:paraId="7A986468"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 xml:space="preserve">      47.5 </w:t>
            </w:r>
          </w:p>
        </w:tc>
        <w:tc>
          <w:tcPr>
            <w:tcW w:w="1559" w:type="dxa"/>
            <w:tcBorders>
              <w:top w:val="single" w:sz="4" w:space="0" w:color="auto"/>
            </w:tcBorders>
            <w:vAlign w:val="bottom"/>
          </w:tcPr>
          <w:p w14:paraId="4350D66D"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19.0</w:t>
            </w:r>
          </w:p>
        </w:tc>
      </w:tr>
      <w:tr w:rsidR="009545C3" w:rsidRPr="00A44EB7" w14:paraId="2442A6A9" w14:textId="77777777" w:rsidTr="00F528C6">
        <w:trPr>
          <w:trHeight w:val="435"/>
        </w:trPr>
        <w:tc>
          <w:tcPr>
            <w:tcW w:w="1928" w:type="dxa"/>
            <w:tcBorders>
              <w:right w:val="single" w:sz="4" w:space="0" w:color="auto"/>
            </w:tcBorders>
            <w:vAlign w:val="bottom"/>
          </w:tcPr>
          <w:p w14:paraId="7E5B1A02"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bCs/>
                <w:sz w:val="24"/>
                <w:szCs w:val="24"/>
                <w:lang w:eastAsia="en-GB"/>
              </w:rPr>
              <w:t>AMGN36294202</w:t>
            </w:r>
          </w:p>
        </w:tc>
        <w:tc>
          <w:tcPr>
            <w:tcW w:w="1572" w:type="dxa"/>
            <w:tcBorders>
              <w:top w:val="nil"/>
              <w:left w:val="single" w:sz="4" w:space="0" w:color="auto"/>
              <w:bottom w:val="nil"/>
            </w:tcBorders>
            <w:vAlign w:val="bottom"/>
          </w:tcPr>
          <w:p w14:paraId="0801BC63"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3.0</w:t>
            </w:r>
          </w:p>
        </w:tc>
        <w:tc>
          <w:tcPr>
            <w:tcW w:w="1745" w:type="dxa"/>
            <w:tcBorders>
              <w:right w:val="single" w:sz="4" w:space="0" w:color="auto"/>
            </w:tcBorders>
            <w:shd w:val="clear" w:color="auto" w:fill="auto"/>
            <w:noWrap/>
            <w:vAlign w:val="bottom"/>
            <w:hideMark/>
          </w:tcPr>
          <w:p w14:paraId="45A4C69B"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2.</w:t>
            </w:r>
            <w:r>
              <w:rPr>
                <w:rFonts w:ascii="GHEA Grapalat" w:eastAsia="Times New Roman" w:hAnsi="GHEA Grapalat" w:cs="Arial"/>
                <w:sz w:val="20"/>
                <w:szCs w:val="20"/>
                <w:lang w:eastAsia="en-GB"/>
              </w:rPr>
              <w:t>4</w:t>
            </w:r>
          </w:p>
        </w:tc>
        <w:tc>
          <w:tcPr>
            <w:tcW w:w="1276" w:type="dxa"/>
            <w:tcBorders>
              <w:top w:val="nil"/>
              <w:left w:val="single" w:sz="4" w:space="0" w:color="auto"/>
              <w:bottom w:val="nil"/>
            </w:tcBorders>
            <w:vAlign w:val="bottom"/>
          </w:tcPr>
          <w:p w14:paraId="5D63FB54"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 xml:space="preserve">      27.2 </w:t>
            </w:r>
          </w:p>
        </w:tc>
        <w:tc>
          <w:tcPr>
            <w:tcW w:w="1559" w:type="dxa"/>
            <w:vAlign w:val="bottom"/>
          </w:tcPr>
          <w:p w14:paraId="5FADA93E"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10.9</w:t>
            </w:r>
          </w:p>
        </w:tc>
      </w:tr>
      <w:tr w:rsidR="009545C3" w:rsidRPr="00A44EB7" w14:paraId="3BF07EB9" w14:textId="77777777" w:rsidTr="00F528C6">
        <w:trPr>
          <w:trHeight w:val="435"/>
        </w:trPr>
        <w:tc>
          <w:tcPr>
            <w:tcW w:w="1928" w:type="dxa"/>
            <w:tcBorders>
              <w:right w:val="single" w:sz="4" w:space="0" w:color="auto"/>
            </w:tcBorders>
            <w:vAlign w:val="bottom"/>
          </w:tcPr>
          <w:p w14:paraId="2C0073E4"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bCs/>
                <w:sz w:val="24"/>
                <w:szCs w:val="24"/>
                <w:lang w:eastAsia="en-GB"/>
              </w:rPr>
              <w:t>AMGN60294227</w:t>
            </w:r>
          </w:p>
        </w:tc>
        <w:tc>
          <w:tcPr>
            <w:tcW w:w="1572" w:type="dxa"/>
            <w:tcBorders>
              <w:top w:val="nil"/>
              <w:left w:val="single" w:sz="4" w:space="0" w:color="auto"/>
              <w:bottom w:val="nil"/>
            </w:tcBorders>
            <w:vAlign w:val="bottom"/>
          </w:tcPr>
          <w:p w14:paraId="286ACB25"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5.0</w:t>
            </w:r>
          </w:p>
        </w:tc>
        <w:tc>
          <w:tcPr>
            <w:tcW w:w="1745" w:type="dxa"/>
            <w:tcBorders>
              <w:right w:val="single" w:sz="4" w:space="0" w:color="auto"/>
            </w:tcBorders>
            <w:shd w:val="clear" w:color="auto" w:fill="auto"/>
            <w:noWrap/>
            <w:vAlign w:val="bottom"/>
            <w:hideMark/>
          </w:tcPr>
          <w:p w14:paraId="240011B3"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4.</w:t>
            </w:r>
            <w:r>
              <w:rPr>
                <w:rFonts w:ascii="GHEA Grapalat" w:eastAsia="Times New Roman" w:hAnsi="GHEA Grapalat" w:cs="Arial"/>
                <w:sz w:val="20"/>
                <w:szCs w:val="20"/>
                <w:lang w:eastAsia="en-GB"/>
              </w:rPr>
              <w:t>4</w:t>
            </w:r>
          </w:p>
        </w:tc>
        <w:tc>
          <w:tcPr>
            <w:tcW w:w="1276" w:type="dxa"/>
            <w:tcBorders>
              <w:top w:val="nil"/>
              <w:left w:val="single" w:sz="4" w:space="0" w:color="auto"/>
              <w:bottom w:val="nil"/>
            </w:tcBorders>
            <w:vAlign w:val="bottom"/>
          </w:tcPr>
          <w:p w14:paraId="31B3CFE7"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 xml:space="preserve">      27.6 </w:t>
            </w:r>
          </w:p>
        </w:tc>
        <w:tc>
          <w:tcPr>
            <w:tcW w:w="1559" w:type="dxa"/>
            <w:vAlign w:val="bottom"/>
          </w:tcPr>
          <w:p w14:paraId="5A3B9C85"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11.0</w:t>
            </w:r>
          </w:p>
        </w:tc>
      </w:tr>
      <w:tr w:rsidR="009545C3" w:rsidRPr="00A44EB7" w14:paraId="67E4B5EE" w14:textId="77777777" w:rsidTr="00F528C6">
        <w:trPr>
          <w:trHeight w:val="435"/>
        </w:trPr>
        <w:tc>
          <w:tcPr>
            <w:tcW w:w="1928" w:type="dxa"/>
            <w:tcBorders>
              <w:right w:val="single" w:sz="4" w:space="0" w:color="auto"/>
            </w:tcBorders>
            <w:vAlign w:val="bottom"/>
          </w:tcPr>
          <w:p w14:paraId="143A41F9"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bCs/>
                <w:sz w:val="24"/>
                <w:szCs w:val="24"/>
                <w:lang w:eastAsia="en-GB"/>
              </w:rPr>
              <w:t>AMGB1029A250</w:t>
            </w:r>
          </w:p>
        </w:tc>
        <w:tc>
          <w:tcPr>
            <w:tcW w:w="1572" w:type="dxa"/>
            <w:tcBorders>
              <w:top w:val="nil"/>
              <w:left w:val="single" w:sz="4" w:space="0" w:color="auto"/>
              <w:bottom w:val="nil"/>
            </w:tcBorders>
            <w:vAlign w:val="bottom"/>
          </w:tcPr>
          <w:p w14:paraId="1A019ADE"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10.0</w:t>
            </w:r>
          </w:p>
        </w:tc>
        <w:tc>
          <w:tcPr>
            <w:tcW w:w="1745" w:type="dxa"/>
            <w:tcBorders>
              <w:right w:val="single" w:sz="4" w:space="0" w:color="auto"/>
            </w:tcBorders>
            <w:shd w:val="clear" w:color="auto" w:fill="auto"/>
            <w:noWrap/>
            <w:vAlign w:val="bottom"/>
            <w:hideMark/>
          </w:tcPr>
          <w:p w14:paraId="4A9EECF9"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7.</w:t>
            </w:r>
            <w:r>
              <w:rPr>
                <w:rFonts w:ascii="GHEA Grapalat" w:eastAsia="Times New Roman" w:hAnsi="GHEA Grapalat" w:cs="Arial"/>
                <w:sz w:val="20"/>
                <w:szCs w:val="20"/>
                <w:lang w:eastAsia="en-GB"/>
              </w:rPr>
              <w:t>9</w:t>
            </w:r>
          </w:p>
        </w:tc>
        <w:tc>
          <w:tcPr>
            <w:tcW w:w="1276" w:type="dxa"/>
            <w:tcBorders>
              <w:top w:val="nil"/>
              <w:left w:val="single" w:sz="4" w:space="0" w:color="auto"/>
              <w:bottom w:val="nil"/>
            </w:tcBorders>
            <w:vAlign w:val="bottom"/>
          </w:tcPr>
          <w:p w14:paraId="4DF5DA62"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 xml:space="preserve">      42.6 </w:t>
            </w:r>
          </w:p>
        </w:tc>
        <w:tc>
          <w:tcPr>
            <w:tcW w:w="1559" w:type="dxa"/>
            <w:vAlign w:val="bottom"/>
          </w:tcPr>
          <w:p w14:paraId="6BC7B7D7"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17.0</w:t>
            </w:r>
          </w:p>
        </w:tc>
      </w:tr>
      <w:tr w:rsidR="009545C3" w:rsidRPr="00A44EB7" w14:paraId="2386862E" w14:textId="77777777" w:rsidTr="00F528C6">
        <w:trPr>
          <w:trHeight w:val="435"/>
        </w:trPr>
        <w:tc>
          <w:tcPr>
            <w:tcW w:w="1928" w:type="dxa"/>
            <w:tcBorders>
              <w:right w:val="single" w:sz="4" w:space="0" w:color="auto"/>
            </w:tcBorders>
            <w:vAlign w:val="bottom"/>
          </w:tcPr>
          <w:p w14:paraId="4C244AFE"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bCs/>
                <w:sz w:val="24"/>
                <w:szCs w:val="24"/>
                <w:lang w:eastAsia="en-GB"/>
              </w:rPr>
              <w:t>AMGB2029A366</w:t>
            </w:r>
          </w:p>
        </w:tc>
        <w:tc>
          <w:tcPr>
            <w:tcW w:w="1572" w:type="dxa"/>
            <w:tcBorders>
              <w:top w:val="nil"/>
              <w:left w:val="single" w:sz="4" w:space="0" w:color="auto"/>
              <w:bottom w:val="nil"/>
            </w:tcBorders>
            <w:vAlign w:val="bottom"/>
          </w:tcPr>
          <w:p w14:paraId="275DE2D1"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20.5</w:t>
            </w:r>
          </w:p>
        </w:tc>
        <w:tc>
          <w:tcPr>
            <w:tcW w:w="1745" w:type="dxa"/>
            <w:tcBorders>
              <w:right w:val="single" w:sz="4" w:space="0" w:color="auto"/>
            </w:tcBorders>
            <w:shd w:val="clear" w:color="auto" w:fill="auto"/>
            <w:noWrap/>
            <w:vAlign w:val="bottom"/>
            <w:hideMark/>
          </w:tcPr>
          <w:p w14:paraId="57D33F05"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18.</w:t>
            </w:r>
            <w:r>
              <w:rPr>
                <w:rFonts w:ascii="GHEA Grapalat" w:eastAsia="Times New Roman" w:hAnsi="GHEA Grapalat" w:cs="Arial"/>
                <w:sz w:val="20"/>
                <w:szCs w:val="20"/>
                <w:lang w:eastAsia="en-GB"/>
              </w:rPr>
              <w:t>9</w:t>
            </w:r>
          </w:p>
        </w:tc>
        <w:tc>
          <w:tcPr>
            <w:tcW w:w="1276" w:type="dxa"/>
            <w:tcBorders>
              <w:top w:val="nil"/>
              <w:left w:val="single" w:sz="4" w:space="0" w:color="auto"/>
              <w:bottom w:val="nil"/>
            </w:tcBorders>
            <w:vAlign w:val="bottom"/>
          </w:tcPr>
          <w:p w14:paraId="5E258D83"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 xml:space="preserve">      80.0 </w:t>
            </w:r>
          </w:p>
        </w:tc>
        <w:tc>
          <w:tcPr>
            <w:tcW w:w="1559" w:type="dxa"/>
            <w:vAlign w:val="bottom"/>
          </w:tcPr>
          <w:p w14:paraId="61B2CD9A"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32.0</w:t>
            </w:r>
          </w:p>
        </w:tc>
      </w:tr>
      <w:tr w:rsidR="009545C3" w:rsidRPr="00A44EB7" w14:paraId="5CD9E297" w14:textId="77777777" w:rsidTr="00F528C6">
        <w:trPr>
          <w:trHeight w:val="435"/>
        </w:trPr>
        <w:tc>
          <w:tcPr>
            <w:tcW w:w="1928" w:type="dxa"/>
            <w:tcBorders>
              <w:right w:val="single" w:sz="4" w:space="0" w:color="auto"/>
            </w:tcBorders>
            <w:vAlign w:val="bottom"/>
          </w:tcPr>
          <w:p w14:paraId="7AD66880"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bCs/>
                <w:sz w:val="24"/>
                <w:szCs w:val="24"/>
                <w:lang w:eastAsia="en-GB"/>
              </w:rPr>
              <w:t>AMGB30163472</w:t>
            </w:r>
          </w:p>
        </w:tc>
        <w:tc>
          <w:tcPr>
            <w:tcW w:w="1572" w:type="dxa"/>
            <w:tcBorders>
              <w:top w:val="nil"/>
              <w:left w:val="single" w:sz="4" w:space="0" w:color="auto"/>
              <w:bottom w:val="single" w:sz="4" w:space="0" w:color="auto"/>
            </w:tcBorders>
            <w:vAlign w:val="bottom"/>
          </w:tcPr>
          <w:p w14:paraId="0E73F5E2"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30.0</w:t>
            </w:r>
          </w:p>
        </w:tc>
        <w:tc>
          <w:tcPr>
            <w:tcW w:w="1745" w:type="dxa"/>
            <w:tcBorders>
              <w:right w:val="single" w:sz="4" w:space="0" w:color="auto"/>
            </w:tcBorders>
            <w:shd w:val="clear" w:color="auto" w:fill="auto"/>
            <w:noWrap/>
            <w:vAlign w:val="bottom"/>
            <w:hideMark/>
          </w:tcPr>
          <w:p w14:paraId="11AC8A7D"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29.</w:t>
            </w:r>
            <w:r>
              <w:rPr>
                <w:rFonts w:ascii="GHEA Grapalat" w:eastAsia="Times New Roman" w:hAnsi="GHEA Grapalat" w:cs="Arial"/>
                <w:sz w:val="20"/>
                <w:szCs w:val="20"/>
                <w:lang w:eastAsia="en-GB"/>
              </w:rPr>
              <w:t>3</w:t>
            </w:r>
          </w:p>
        </w:tc>
        <w:tc>
          <w:tcPr>
            <w:tcW w:w="1276" w:type="dxa"/>
            <w:tcBorders>
              <w:top w:val="nil"/>
              <w:left w:val="single" w:sz="4" w:space="0" w:color="auto"/>
              <w:bottom w:val="single" w:sz="4" w:space="0" w:color="auto"/>
            </w:tcBorders>
            <w:vAlign w:val="bottom"/>
          </w:tcPr>
          <w:p w14:paraId="23499768"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 xml:space="preserve">      25.2 </w:t>
            </w:r>
          </w:p>
        </w:tc>
        <w:tc>
          <w:tcPr>
            <w:tcW w:w="1559" w:type="dxa"/>
            <w:vAlign w:val="bottom"/>
          </w:tcPr>
          <w:p w14:paraId="59423AE2" w14:textId="77777777" w:rsidR="009545C3" w:rsidRPr="00A44EB7" w:rsidRDefault="009545C3" w:rsidP="00F528C6">
            <w:pPr>
              <w:jc w:val="right"/>
              <w:rPr>
                <w:rFonts w:ascii="GHEA Grapalat" w:eastAsia="Times New Roman" w:hAnsi="GHEA Grapalat" w:cs="Arial"/>
                <w:sz w:val="20"/>
                <w:szCs w:val="20"/>
                <w:lang w:eastAsia="en-GB"/>
              </w:rPr>
            </w:pPr>
            <w:r w:rsidRPr="00A44EB7">
              <w:rPr>
                <w:rFonts w:ascii="GHEA Grapalat" w:eastAsia="Times New Roman" w:hAnsi="GHEA Grapalat" w:cs="Arial"/>
                <w:sz w:val="20"/>
                <w:szCs w:val="20"/>
                <w:lang w:eastAsia="en-GB"/>
              </w:rPr>
              <w:t>10.1</w:t>
            </w:r>
          </w:p>
        </w:tc>
      </w:tr>
    </w:tbl>
    <w:p w14:paraId="2DD6A9AD" w14:textId="77777777" w:rsidR="009545C3" w:rsidRDefault="009545C3" w:rsidP="009545C3">
      <w:pPr>
        <w:autoSpaceDE w:val="0"/>
        <w:autoSpaceDN w:val="0"/>
        <w:adjustRightInd w:val="0"/>
        <w:jc w:val="both"/>
        <w:rPr>
          <w:rFonts w:eastAsiaTheme="minorHAnsi" w:cs="Arial"/>
          <w:lang w:val="en-GB" w:eastAsia="en-US"/>
        </w:rPr>
      </w:pPr>
    </w:p>
    <w:p w14:paraId="1F381E21" w14:textId="77777777" w:rsidR="009545C3" w:rsidRDefault="009545C3" w:rsidP="009545C3">
      <w:pPr>
        <w:ind w:left="360" w:right="11"/>
        <w:jc w:val="both"/>
        <w:rPr>
          <w:rFonts w:cs="Arial"/>
        </w:rPr>
      </w:pPr>
    </w:p>
    <w:p w14:paraId="46E88804" w14:textId="75A2E2BB" w:rsidR="009545C3" w:rsidRPr="00780E14" w:rsidRDefault="009545C3" w:rsidP="009545C3">
      <w:pPr>
        <w:numPr>
          <w:ilvl w:val="0"/>
          <w:numId w:val="3"/>
        </w:numPr>
        <w:ind w:right="11"/>
        <w:jc w:val="both"/>
        <w:rPr>
          <w:rFonts w:cs="Arial"/>
        </w:rPr>
      </w:pPr>
      <w:r>
        <w:rPr>
          <w:rFonts w:cs="Arial"/>
        </w:rPr>
        <w:t xml:space="preserve">Benchmark bonds </w:t>
      </w:r>
      <w:proofErr w:type="gramStart"/>
      <w:r>
        <w:rPr>
          <w:rFonts w:cs="Arial"/>
        </w:rPr>
        <w:t>are designated for a three-month period and revised every quarter depending on the outstanding stock and residual maturity</w:t>
      </w:r>
      <w:proofErr w:type="gramEnd"/>
      <w:r>
        <w:rPr>
          <w:rFonts w:cs="Arial"/>
        </w:rPr>
        <w:t xml:space="preserve">. The minimum stock required for designation of a bond as a benchmark bond is AMD 10 </w:t>
      </w:r>
      <w:proofErr w:type="gramStart"/>
      <w:r w:rsidR="00CE261D">
        <w:rPr>
          <w:rFonts w:cs="Arial"/>
        </w:rPr>
        <w:t>billion</w:t>
      </w:r>
      <w:proofErr w:type="gramEnd"/>
      <w:r w:rsidR="00CE261D">
        <w:rPr>
          <w:rFonts w:cs="Arial"/>
        </w:rPr>
        <w:t xml:space="preserve"> </w:t>
      </w:r>
      <w:r>
        <w:rPr>
          <w:rFonts w:cs="Arial"/>
        </w:rPr>
        <w:t xml:space="preserve">which is very low by international standards. For January-March 2018, the 10-year benchmark bond </w:t>
      </w:r>
      <w:proofErr w:type="gramStart"/>
      <w:r>
        <w:rPr>
          <w:rFonts w:cs="Arial"/>
        </w:rPr>
        <w:t>has been replaced</w:t>
      </w:r>
      <w:proofErr w:type="gramEnd"/>
      <w:r>
        <w:rPr>
          <w:rFonts w:cs="Arial"/>
        </w:rPr>
        <w:t xml:space="preserve"> by recent 10-year bond issuance in October 2017 (</w:t>
      </w:r>
      <w:r w:rsidRPr="004E4A73">
        <w:rPr>
          <w:rFonts w:cs="Arial"/>
        </w:rPr>
        <w:t>AMGB1029A276</w:t>
      </w:r>
      <w:r>
        <w:rPr>
          <w:rFonts w:cs="Arial"/>
        </w:rPr>
        <w:t xml:space="preserve">). During 2018, new </w:t>
      </w:r>
      <w:proofErr w:type="gramStart"/>
      <w:r>
        <w:rPr>
          <w:rFonts w:cs="Arial"/>
        </w:rPr>
        <w:t>3</w:t>
      </w:r>
      <w:proofErr w:type="gramEnd"/>
      <w:r>
        <w:rPr>
          <w:rFonts w:cs="Arial"/>
        </w:rPr>
        <w:t xml:space="preserve"> and 5-year bond lines will be issued to replace the existing benchmark bonds.</w:t>
      </w:r>
      <w:r w:rsidRPr="00780E14">
        <w:rPr>
          <w:rFonts w:eastAsia="Times New Roman" w:cs="Arial"/>
          <w:bCs/>
          <w:lang w:eastAsia="en-GB"/>
        </w:rPr>
        <w:t xml:space="preserve"> </w:t>
      </w:r>
      <w:r w:rsidRPr="00780E14">
        <w:rPr>
          <w:rFonts w:cs="Arial"/>
        </w:rPr>
        <w:t xml:space="preserve"> </w:t>
      </w:r>
    </w:p>
    <w:p w14:paraId="61B6EBD9" w14:textId="77777777" w:rsidR="009545C3" w:rsidRPr="00FB0A38" w:rsidRDefault="009545C3" w:rsidP="009545C3">
      <w:pPr>
        <w:jc w:val="both"/>
        <w:rPr>
          <w:rFonts w:eastAsia="Times New Roman" w:cs="Arial"/>
          <w:b/>
        </w:rPr>
      </w:pPr>
    </w:p>
    <w:p w14:paraId="4182E156" w14:textId="77777777" w:rsidR="009545C3" w:rsidRPr="00780E14" w:rsidRDefault="009545C3" w:rsidP="009545C3">
      <w:pPr>
        <w:numPr>
          <w:ilvl w:val="0"/>
          <w:numId w:val="3"/>
        </w:numPr>
        <w:ind w:right="11"/>
        <w:jc w:val="both"/>
        <w:rPr>
          <w:rFonts w:cs="Arial"/>
        </w:rPr>
      </w:pPr>
      <w:r>
        <w:rPr>
          <w:rFonts w:cs="Arial"/>
        </w:rPr>
        <w:t>In December 2017, b</w:t>
      </w:r>
      <w:r w:rsidRPr="00780E14">
        <w:rPr>
          <w:rFonts w:cs="Arial"/>
        </w:rPr>
        <w:t>enchmark bonds comprise</w:t>
      </w:r>
      <w:r>
        <w:rPr>
          <w:rFonts w:cs="Arial"/>
        </w:rPr>
        <w:t>d</w:t>
      </w:r>
      <w:r w:rsidRPr="00780E14">
        <w:rPr>
          <w:rFonts w:cs="Arial"/>
        </w:rPr>
        <w:t xml:space="preserve"> 47.7 percent of the total outstanding bonds with </w:t>
      </w:r>
      <w:proofErr w:type="gramStart"/>
      <w:r w:rsidRPr="00780E14">
        <w:rPr>
          <w:rFonts w:cs="Arial"/>
        </w:rPr>
        <w:t>6</w:t>
      </w:r>
      <w:proofErr w:type="gramEnd"/>
      <w:r w:rsidRPr="00780E14">
        <w:rPr>
          <w:rFonts w:cs="Arial"/>
        </w:rPr>
        <w:t xml:space="preserve"> benchmark issues ranging between AMD 25 – 80 billion. The benchmark bonds with initial maturities of 3, 5, 10, 20.5 and </w:t>
      </w:r>
      <w:proofErr w:type="gramStart"/>
      <w:r w:rsidRPr="00780E14">
        <w:rPr>
          <w:rFonts w:cs="Arial"/>
        </w:rPr>
        <w:t>30 years are dominated by the 20.5-year, 3 years and 10-year bonds respectively</w:t>
      </w:r>
      <w:proofErr w:type="gramEnd"/>
      <w:r w:rsidRPr="00780E14">
        <w:rPr>
          <w:rFonts w:cs="Arial"/>
        </w:rPr>
        <w:t xml:space="preserve">. In terms of residual maturities, benchmark bonds </w:t>
      </w:r>
      <w:proofErr w:type="gramStart"/>
      <w:r w:rsidRPr="00780E14">
        <w:rPr>
          <w:rFonts w:cs="Arial"/>
        </w:rPr>
        <w:t>are dominated</w:t>
      </w:r>
      <w:proofErr w:type="gramEnd"/>
      <w:r w:rsidRPr="00780E14">
        <w:rPr>
          <w:rFonts w:cs="Arial"/>
        </w:rPr>
        <w:t xml:space="preserve"> by 18.9, 1.4 and 7.9 years. </w:t>
      </w:r>
      <w:r>
        <w:rPr>
          <w:rFonts w:cs="Arial"/>
        </w:rPr>
        <w:t>Despite the designation of benchmark bonds, given the limited size of outstanding stocks, the benefits of benchmark bonds through increased turnover and liquidity are largely absent.</w:t>
      </w:r>
    </w:p>
    <w:p w14:paraId="550B8399" w14:textId="77777777" w:rsidR="009545C3" w:rsidRDefault="009545C3" w:rsidP="009545C3">
      <w:pPr>
        <w:ind w:left="360" w:right="11"/>
        <w:jc w:val="both"/>
        <w:rPr>
          <w:rFonts w:cs="Arial"/>
        </w:rPr>
      </w:pPr>
    </w:p>
    <w:p w14:paraId="35C458E1" w14:textId="62DA6B47" w:rsidR="009545C3" w:rsidRDefault="009545C3" w:rsidP="009545C3">
      <w:pPr>
        <w:numPr>
          <w:ilvl w:val="0"/>
          <w:numId w:val="3"/>
        </w:numPr>
        <w:ind w:right="11"/>
        <w:jc w:val="both"/>
        <w:rPr>
          <w:rFonts w:cs="Arial"/>
        </w:rPr>
      </w:pPr>
      <w:r>
        <w:rPr>
          <w:rFonts w:cs="Arial"/>
        </w:rPr>
        <w:t xml:space="preserve">The stock of benchmark bonds is relatively small compared to emerging market countries. This is mainly due to the low reliance on domestic bonds compared to external debt. However, even within the current level of issuance, there is a potential to increase the stock of benchmark bonds. However, the increase </w:t>
      </w:r>
      <w:proofErr w:type="gramStart"/>
      <w:r>
        <w:rPr>
          <w:rFonts w:cs="Arial"/>
        </w:rPr>
        <w:t>should be balanced</w:t>
      </w:r>
      <w:proofErr w:type="gramEnd"/>
      <w:r>
        <w:rPr>
          <w:rFonts w:cs="Arial"/>
        </w:rPr>
        <w:t xml:space="preserve"> with other considerations like the degree of refinancing risks and the scope of liability management operations like buybacks and switches.</w:t>
      </w:r>
      <w:r w:rsidR="00303615">
        <w:rPr>
          <w:rFonts w:cs="Arial"/>
        </w:rPr>
        <w:t xml:space="preserve"> </w:t>
      </w:r>
      <w:proofErr w:type="gramStart"/>
      <w:r w:rsidR="00303615">
        <w:rPr>
          <w:rFonts w:cs="Arial"/>
        </w:rPr>
        <w:t>At this juncture</w:t>
      </w:r>
      <w:proofErr w:type="gramEnd"/>
      <w:r w:rsidR="00303615">
        <w:rPr>
          <w:rFonts w:cs="Arial"/>
        </w:rPr>
        <w:t xml:space="preserve">, while refinancing risks are very low, it would take several years before benchmark bonds can attain sufficient stocks to reflect meaningful refinancing risks. A policy limit on the stock of benchmark bonds would also ensure containment of significant refinancing risks. </w:t>
      </w:r>
    </w:p>
    <w:p w14:paraId="4892707A" w14:textId="77777777" w:rsidR="009545C3" w:rsidRDefault="009545C3" w:rsidP="009545C3">
      <w:pPr>
        <w:ind w:left="360" w:right="11"/>
        <w:jc w:val="both"/>
        <w:rPr>
          <w:rFonts w:cs="Arial"/>
        </w:rPr>
      </w:pPr>
    </w:p>
    <w:p w14:paraId="34F1CFC3" w14:textId="468F60C9" w:rsidR="009545C3" w:rsidRDefault="00900B26" w:rsidP="009545C3">
      <w:pPr>
        <w:numPr>
          <w:ilvl w:val="0"/>
          <w:numId w:val="3"/>
        </w:numPr>
        <w:ind w:right="11"/>
        <w:jc w:val="both"/>
        <w:rPr>
          <w:rFonts w:cs="Arial"/>
        </w:rPr>
      </w:pPr>
      <w:r>
        <w:rPr>
          <w:rFonts w:cs="Arial"/>
        </w:rPr>
        <w:t>For increasing benchmark bond issuance</w:t>
      </w:r>
      <w:r w:rsidR="009545C3">
        <w:rPr>
          <w:rFonts w:cs="Arial"/>
        </w:rPr>
        <w:t xml:space="preserve">, the policy ceilings imposed on the stock of outstanding benchmark bonds </w:t>
      </w:r>
      <w:proofErr w:type="gramStart"/>
      <w:r w:rsidR="009545C3">
        <w:rPr>
          <w:rFonts w:cs="Arial"/>
        </w:rPr>
        <w:t>can be increased</w:t>
      </w:r>
      <w:proofErr w:type="gramEnd"/>
      <w:r w:rsidR="009545C3">
        <w:rPr>
          <w:rFonts w:cs="Arial"/>
        </w:rPr>
        <w:t xml:space="preserve">, especially for 10-year bond. Currently, the </w:t>
      </w:r>
      <w:proofErr w:type="gramStart"/>
      <w:r w:rsidR="009545C3">
        <w:rPr>
          <w:rFonts w:cs="Arial"/>
        </w:rPr>
        <w:t>ceilings on the 20-year benchmark bond is</w:t>
      </w:r>
      <w:proofErr w:type="gramEnd"/>
      <w:r w:rsidR="009545C3">
        <w:rPr>
          <w:rFonts w:cs="Arial"/>
        </w:rPr>
        <w:t xml:space="preserve"> nearly twice that of the 10-year ceiling</w:t>
      </w:r>
      <w:r w:rsidR="009545C3">
        <w:rPr>
          <w:rStyle w:val="FootnoteReference"/>
          <w:rFonts w:cs="Arial"/>
        </w:rPr>
        <w:footnoteReference w:id="18"/>
      </w:r>
      <w:r w:rsidR="009545C3">
        <w:rPr>
          <w:rFonts w:cs="Arial"/>
        </w:rPr>
        <w:t>. For most countries, 10-year benchmark bond is the most popular benchmark maturity bearing the largest stock and serves as a good bridge between medium term notes and long-term bonds in the evolution of yield curve. For some benchmark bonds, the current outstanding stock is significantly below the existing policy limits, thereby implying significant potential to increase the size of benchmark bonds.</w:t>
      </w:r>
    </w:p>
    <w:p w14:paraId="3BBC44B5" w14:textId="77777777" w:rsidR="009545C3" w:rsidRDefault="009545C3" w:rsidP="009545C3">
      <w:pPr>
        <w:ind w:left="360" w:right="11"/>
        <w:jc w:val="both"/>
        <w:rPr>
          <w:rFonts w:cs="Arial"/>
        </w:rPr>
      </w:pPr>
    </w:p>
    <w:p w14:paraId="40A49790" w14:textId="77777777" w:rsidR="009545C3" w:rsidRDefault="009545C3" w:rsidP="009545C3">
      <w:pPr>
        <w:numPr>
          <w:ilvl w:val="0"/>
          <w:numId w:val="3"/>
        </w:numPr>
        <w:ind w:right="11"/>
        <w:jc w:val="both"/>
        <w:rPr>
          <w:rFonts w:cs="Arial"/>
        </w:rPr>
      </w:pPr>
      <w:r>
        <w:rPr>
          <w:rFonts w:cs="Arial"/>
        </w:rPr>
        <w:lastRenderedPageBreak/>
        <w:t xml:space="preserve">Another way to increase the outstanding stock of a benchmark bond is to re-designate an existing benchmark bond with the passage of time to a new benchmark bond for a different (lower) maturity. The current practice is that once a benchmark bond deviates significantly below its original maturity, it </w:t>
      </w:r>
      <w:proofErr w:type="gramStart"/>
      <w:r>
        <w:rPr>
          <w:rFonts w:cs="Arial"/>
        </w:rPr>
        <w:t>is no longer treated</w:t>
      </w:r>
      <w:proofErr w:type="gramEnd"/>
      <w:r>
        <w:rPr>
          <w:rFonts w:cs="Arial"/>
        </w:rPr>
        <w:t xml:space="preserve"> as a benchmark bond and is not reopened. Consequently, the benchmark bond quickly turns illiquid. By continuing to re-open an existing benchmark bond, re-designated as a new benchmark could lead to a higher stock for that benchmark</w:t>
      </w:r>
      <w:r>
        <w:rPr>
          <w:rStyle w:val="FootnoteReference"/>
          <w:rFonts w:cs="Arial"/>
        </w:rPr>
        <w:footnoteReference w:id="19"/>
      </w:r>
      <w:r>
        <w:rPr>
          <w:rFonts w:cs="Arial"/>
        </w:rPr>
        <w:t xml:space="preserve">. Such a strategy will also obviate the need to buyback non-benchmark </w:t>
      </w:r>
      <w:proofErr w:type="gramStart"/>
      <w:r>
        <w:rPr>
          <w:rFonts w:cs="Arial"/>
        </w:rPr>
        <w:t>bonds which</w:t>
      </w:r>
      <w:proofErr w:type="gramEnd"/>
      <w:r>
        <w:rPr>
          <w:rFonts w:cs="Arial"/>
        </w:rPr>
        <w:t xml:space="preserve"> have a potential to attain a new benchmark status, thereby savings on buyback costs. </w:t>
      </w:r>
    </w:p>
    <w:p w14:paraId="055757EB" w14:textId="77777777" w:rsidR="009545C3" w:rsidRDefault="009545C3" w:rsidP="009545C3">
      <w:pPr>
        <w:autoSpaceDE w:val="0"/>
        <w:autoSpaceDN w:val="0"/>
        <w:adjustRightInd w:val="0"/>
        <w:jc w:val="both"/>
        <w:rPr>
          <w:rFonts w:eastAsiaTheme="minorHAnsi" w:cs="Arial"/>
          <w:lang w:val="en-GB" w:eastAsia="en-US"/>
        </w:rPr>
      </w:pPr>
    </w:p>
    <w:p w14:paraId="02D4755E" w14:textId="77777777" w:rsidR="009545C3" w:rsidRDefault="009545C3" w:rsidP="00466D0E">
      <w:pPr>
        <w:pStyle w:val="Topic3"/>
      </w:pPr>
      <w:bookmarkStart w:id="14" w:name="_Toc506537588"/>
      <w:r>
        <w:t>Investor Diversification</w:t>
      </w:r>
      <w:bookmarkEnd w:id="14"/>
    </w:p>
    <w:p w14:paraId="2BA743F5" w14:textId="77777777" w:rsidR="009545C3" w:rsidRPr="00511D2B" w:rsidRDefault="009545C3" w:rsidP="009545C3">
      <w:pPr>
        <w:jc w:val="both"/>
        <w:rPr>
          <w:rFonts w:eastAsia="Times New Roman" w:cs="Arial"/>
          <w:b/>
        </w:rPr>
      </w:pPr>
    </w:p>
    <w:p w14:paraId="5B29C505" w14:textId="77777777" w:rsidR="00B148B3" w:rsidRDefault="009545C3" w:rsidP="009545C3">
      <w:pPr>
        <w:pStyle w:val="ListParagraph"/>
        <w:numPr>
          <w:ilvl w:val="0"/>
          <w:numId w:val="3"/>
        </w:numPr>
        <w:jc w:val="both"/>
        <w:rPr>
          <w:rFonts w:eastAsia="Times New Roman" w:cs="Arial"/>
        </w:rPr>
      </w:pPr>
      <w:r>
        <w:rPr>
          <w:rFonts w:eastAsia="Times New Roman" w:cs="Arial"/>
        </w:rPr>
        <w:t>Given the dominance of the banks within the financial system, banks remain the major investor for government bonds despite its low investment as part of its asset base. Banks accounted for 77.9 percent of total outstanding bonds at the end of October 2017 (Figure 6). The share of financial assets available for sale and held at fair value at the end of 2016 comprised 8.7 percent of its total assets.</w:t>
      </w:r>
    </w:p>
    <w:p w14:paraId="352FA942" w14:textId="77777777" w:rsidR="00B148B3" w:rsidRDefault="00B148B3" w:rsidP="00B148B3">
      <w:pPr>
        <w:pStyle w:val="ListParagraph"/>
        <w:ind w:left="360"/>
        <w:jc w:val="both"/>
        <w:rPr>
          <w:rFonts w:eastAsia="Times New Roman" w:cs="Arial"/>
        </w:rPr>
      </w:pPr>
    </w:p>
    <w:p w14:paraId="15D524F1" w14:textId="158F4AA7" w:rsidR="00B148B3" w:rsidRDefault="00B148B3" w:rsidP="00B148B3">
      <w:pPr>
        <w:pStyle w:val="ListParagraph"/>
        <w:numPr>
          <w:ilvl w:val="0"/>
          <w:numId w:val="3"/>
        </w:numPr>
        <w:jc w:val="both"/>
        <w:rPr>
          <w:rFonts w:eastAsia="Times New Roman" w:cs="Arial"/>
        </w:rPr>
      </w:pPr>
      <w:r>
        <w:rPr>
          <w:rFonts w:eastAsia="Times New Roman" w:cs="Arial"/>
        </w:rPr>
        <w:t xml:space="preserve">In contrast, with the share of non-life insurance companies at 1 percent of the assets of the financial system, their investment in securities (including G-Sec) as part of technical reserves stood at 20.7 percent of its asset base. There is currently no life insurance business in </w:t>
      </w:r>
      <w:proofErr w:type="gramStart"/>
      <w:r>
        <w:rPr>
          <w:rFonts w:eastAsia="Times New Roman" w:cs="Arial"/>
        </w:rPr>
        <w:t>Armenia which</w:t>
      </w:r>
      <w:proofErr w:type="gramEnd"/>
      <w:r>
        <w:rPr>
          <w:rFonts w:eastAsia="Times New Roman" w:cs="Arial"/>
        </w:rPr>
        <w:t xml:space="preserve"> typically plays a dominant role as an investor base. For pension </w:t>
      </w:r>
      <w:proofErr w:type="gramStart"/>
      <w:r>
        <w:rPr>
          <w:rFonts w:eastAsia="Times New Roman" w:cs="Arial"/>
        </w:rPr>
        <w:t>funds which</w:t>
      </w:r>
      <w:proofErr w:type="gramEnd"/>
      <w:r>
        <w:rPr>
          <w:rFonts w:eastAsia="Times New Roman" w:cs="Arial"/>
        </w:rPr>
        <w:t xml:space="preserve"> holds less than 1 percent of financial system assets, 39 percent of its assets are invested in G-Sec with average maturity of 6.5 years reflecting their preference for long-term bonds</w:t>
      </w:r>
      <w:r>
        <w:rPr>
          <w:rStyle w:val="FootnoteReference"/>
          <w:rFonts w:eastAsia="Times New Roman" w:cs="Arial"/>
        </w:rPr>
        <w:footnoteReference w:id="20"/>
      </w:r>
      <w:r>
        <w:rPr>
          <w:rFonts w:eastAsia="Times New Roman" w:cs="Arial"/>
        </w:rPr>
        <w:t>. Non-bank investors comprising insurance companies and pension funds accounted for 15.3 percent of the outstanding stock. The CBA held 5.3 percent for its repo operations while foreign investors accounted for a meagre 1.6 percent of the total bonds.</w:t>
      </w:r>
    </w:p>
    <w:p w14:paraId="4AE6D94F" w14:textId="27E6C53F" w:rsidR="009545C3" w:rsidRDefault="009545C3" w:rsidP="00B148B3">
      <w:pPr>
        <w:pStyle w:val="ListParagraph"/>
        <w:ind w:left="360"/>
        <w:jc w:val="both"/>
        <w:rPr>
          <w:rFonts w:eastAsia="Times New Roman" w:cs="Arial"/>
        </w:rPr>
      </w:pPr>
      <w:r>
        <w:rPr>
          <w:rFonts w:eastAsia="Times New Roman" w:cs="Arial"/>
        </w:rPr>
        <w:t xml:space="preserve"> </w:t>
      </w:r>
    </w:p>
    <w:p w14:paraId="428946FA" w14:textId="2BB0AC72" w:rsidR="009545C3" w:rsidRDefault="009545C3" w:rsidP="009545C3">
      <w:pPr>
        <w:jc w:val="both"/>
        <w:rPr>
          <w:rFonts w:eastAsia="Times New Roman" w:cs="Arial"/>
        </w:rPr>
      </w:pPr>
      <w:r>
        <w:rPr>
          <w:rFonts w:eastAsia="Times New Roman" w:cs="Arial"/>
        </w:rPr>
        <w:t xml:space="preserve">Figure 6: Investor Base in Government Bonds </w:t>
      </w:r>
      <w:r w:rsidR="00A50926">
        <w:rPr>
          <w:rFonts w:eastAsia="Times New Roman" w:cs="Arial"/>
        </w:rPr>
        <w:t>o</w:t>
      </w:r>
      <w:r>
        <w:rPr>
          <w:rFonts w:eastAsia="Times New Roman" w:cs="Arial"/>
        </w:rPr>
        <w:t>n October 2017 (</w:t>
      </w:r>
      <w:proofErr w:type="gramStart"/>
      <w:r>
        <w:rPr>
          <w:rFonts w:eastAsia="Times New Roman" w:cs="Arial"/>
        </w:rPr>
        <w:t>%</w:t>
      </w:r>
      <w:proofErr w:type="gramEnd"/>
      <w:r>
        <w:rPr>
          <w:rFonts w:eastAsia="Times New Roman" w:cs="Arial"/>
        </w:rPr>
        <w:t xml:space="preserve"> of Outstanding Stock)</w:t>
      </w:r>
    </w:p>
    <w:p w14:paraId="2774B7EB" w14:textId="56BF7AEA" w:rsidR="009545C3" w:rsidRPr="00142169" w:rsidRDefault="009545C3" w:rsidP="009545C3">
      <w:pPr>
        <w:jc w:val="both"/>
        <w:rPr>
          <w:rFonts w:eastAsia="Times New Roman" w:cs="Arial"/>
        </w:rPr>
      </w:pPr>
    </w:p>
    <w:p w14:paraId="43C076B5" w14:textId="3208C90D" w:rsidR="009545C3" w:rsidRPr="00744DF2" w:rsidRDefault="009C00DC" w:rsidP="009545C3">
      <w:pPr>
        <w:pStyle w:val="ListParagraph"/>
        <w:ind w:left="360"/>
        <w:jc w:val="both"/>
        <w:rPr>
          <w:rFonts w:eastAsia="Times New Roman" w:cs="Arial"/>
        </w:rPr>
      </w:pPr>
      <w:r>
        <w:rPr>
          <w:rFonts w:eastAsia="Times New Roman" w:cs="Arial"/>
          <w:noProof/>
          <w:lang w:eastAsia="en-US"/>
        </w:rPr>
        <w:lastRenderedPageBreak/>
        <w:drawing>
          <wp:inline distT="0" distB="0" distL="0" distR="0" wp14:anchorId="14FED4CC" wp14:editId="2DB5C9BB">
            <wp:extent cx="4584700" cy="27559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996CA68" w14:textId="77777777" w:rsidR="009545C3" w:rsidRDefault="009545C3" w:rsidP="009545C3">
      <w:pPr>
        <w:jc w:val="both"/>
        <w:rPr>
          <w:rFonts w:eastAsia="Times New Roman"/>
          <w:i/>
          <w:sz w:val="18"/>
          <w:szCs w:val="18"/>
        </w:rPr>
      </w:pPr>
    </w:p>
    <w:p w14:paraId="7C6E3E75" w14:textId="77777777" w:rsidR="009545C3" w:rsidRDefault="009545C3" w:rsidP="009545C3">
      <w:pPr>
        <w:pStyle w:val="ListParagraph"/>
        <w:ind w:left="360"/>
        <w:jc w:val="both"/>
        <w:rPr>
          <w:rFonts w:eastAsia="Times New Roman" w:cs="Arial"/>
        </w:rPr>
      </w:pPr>
    </w:p>
    <w:p w14:paraId="1A4E9CC3" w14:textId="77777777" w:rsidR="007E5622" w:rsidRDefault="009545C3" w:rsidP="009545C3">
      <w:pPr>
        <w:pStyle w:val="ListParagraph"/>
        <w:numPr>
          <w:ilvl w:val="0"/>
          <w:numId w:val="3"/>
        </w:numPr>
        <w:jc w:val="both"/>
        <w:rPr>
          <w:rFonts w:eastAsia="Times New Roman" w:cs="Arial"/>
        </w:rPr>
      </w:pPr>
      <w:r>
        <w:rPr>
          <w:rFonts w:eastAsia="Times New Roman" w:cs="Arial"/>
        </w:rPr>
        <w:t xml:space="preserve">Banking sector’s investments on G-Sec </w:t>
      </w:r>
      <w:proofErr w:type="gramStart"/>
      <w:r>
        <w:rPr>
          <w:rFonts w:eastAsia="Times New Roman" w:cs="Arial"/>
        </w:rPr>
        <w:t>is mainly motivated</w:t>
      </w:r>
      <w:proofErr w:type="gramEnd"/>
      <w:r>
        <w:rPr>
          <w:rFonts w:eastAsia="Times New Roman" w:cs="Arial"/>
        </w:rPr>
        <w:t xml:space="preserve"> by securing access to liquidity from the CBA through repos. Generally, such </w:t>
      </w:r>
      <w:proofErr w:type="gramStart"/>
      <w:r>
        <w:rPr>
          <w:rFonts w:eastAsia="Times New Roman" w:cs="Arial"/>
        </w:rPr>
        <w:t>investments by banks is</w:t>
      </w:r>
      <w:proofErr w:type="gramEnd"/>
      <w:r>
        <w:rPr>
          <w:rFonts w:eastAsia="Times New Roman" w:cs="Arial"/>
        </w:rPr>
        <w:t xml:space="preserve"> not guided by the need for </w:t>
      </w:r>
      <w:r w:rsidR="00F43E32">
        <w:rPr>
          <w:rFonts w:eastAsia="Times New Roman" w:cs="Arial"/>
        </w:rPr>
        <w:t xml:space="preserve">portfolio </w:t>
      </w:r>
      <w:r>
        <w:rPr>
          <w:rFonts w:eastAsia="Times New Roman" w:cs="Arial"/>
        </w:rPr>
        <w:t>diversification and generation of trading returns as part of its asset liability management framework. It would therefore be imperative for the government to market G-Sec as an asset class for the banking sector apart from liquidity needs complemented with enhancing risk management capacity in banks. For the institutional investors, expansion of the pension fund sector through ongoing reforms</w:t>
      </w:r>
      <w:proofErr w:type="gramStart"/>
      <w:r>
        <w:rPr>
          <w:rFonts w:eastAsia="Times New Roman" w:cs="Arial"/>
        </w:rPr>
        <w:t>;</w:t>
      </w:r>
      <w:proofErr w:type="gramEnd"/>
      <w:r>
        <w:rPr>
          <w:rFonts w:eastAsia="Times New Roman" w:cs="Arial"/>
        </w:rPr>
        <w:t xml:space="preserve"> and initiation of life insurance business along with mutual fund industry can create new channels of demand for G-Sec and trading activity. Facility for the institutional investors like the insurance companies to engage in reverse repos can also stimulate greater demand and trading in G-Sec.</w:t>
      </w:r>
    </w:p>
    <w:p w14:paraId="02335108" w14:textId="77777777" w:rsidR="007E5622" w:rsidRDefault="007E5622" w:rsidP="009C00DC">
      <w:pPr>
        <w:pStyle w:val="ListParagraph"/>
        <w:ind w:left="360"/>
        <w:jc w:val="both"/>
        <w:rPr>
          <w:rFonts w:eastAsia="Times New Roman" w:cs="Arial"/>
        </w:rPr>
      </w:pPr>
    </w:p>
    <w:p w14:paraId="2C5F0DE2" w14:textId="421DA5D3" w:rsidR="009545C3" w:rsidRDefault="007E5622" w:rsidP="009545C3">
      <w:pPr>
        <w:pStyle w:val="ListParagraph"/>
        <w:numPr>
          <w:ilvl w:val="0"/>
          <w:numId w:val="3"/>
        </w:numPr>
        <w:jc w:val="both"/>
        <w:rPr>
          <w:rFonts w:eastAsia="Times New Roman" w:cs="Arial"/>
        </w:rPr>
      </w:pPr>
      <w:r>
        <w:rPr>
          <w:rFonts w:eastAsia="Times New Roman" w:cs="Arial"/>
        </w:rPr>
        <w:t xml:space="preserve">The financial system has experienced excess liquidity in recent years, especially with muted private sector credit growth. The CBA </w:t>
      </w:r>
      <w:r w:rsidR="002A552F">
        <w:rPr>
          <w:rFonts w:eastAsia="Times New Roman" w:cs="Arial"/>
        </w:rPr>
        <w:t>has been to some extent been constrained in</w:t>
      </w:r>
      <w:r>
        <w:rPr>
          <w:rFonts w:eastAsia="Times New Roman" w:cs="Arial"/>
        </w:rPr>
        <w:t xml:space="preserve"> its liquidity management</w:t>
      </w:r>
      <w:r w:rsidR="002A552F">
        <w:rPr>
          <w:rFonts w:eastAsia="Times New Roman" w:cs="Arial"/>
        </w:rPr>
        <w:t xml:space="preserve"> </w:t>
      </w:r>
      <w:r w:rsidR="00C35941">
        <w:rPr>
          <w:rFonts w:eastAsia="Times New Roman" w:cs="Arial"/>
        </w:rPr>
        <w:t>through open market operations (OMOs) due to</w:t>
      </w:r>
      <w:r w:rsidR="002A552F">
        <w:rPr>
          <w:rFonts w:eastAsia="Times New Roman" w:cs="Arial"/>
        </w:rPr>
        <w:t xml:space="preserve"> limited availability of G-Secs and a nascent repo market. </w:t>
      </w:r>
      <w:r w:rsidR="00FA0364">
        <w:rPr>
          <w:rFonts w:eastAsia="Times New Roman" w:cs="Arial"/>
        </w:rPr>
        <w:t xml:space="preserve">With </w:t>
      </w:r>
      <w:proofErr w:type="gramStart"/>
      <w:r w:rsidR="00FA0364">
        <w:rPr>
          <w:rFonts w:eastAsia="Times New Roman" w:cs="Arial"/>
        </w:rPr>
        <w:t>an acceleration</w:t>
      </w:r>
      <w:proofErr w:type="gramEnd"/>
      <w:r w:rsidR="00FA0364">
        <w:rPr>
          <w:rFonts w:eastAsia="Times New Roman" w:cs="Arial"/>
        </w:rPr>
        <w:t xml:space="preserve"> in issuances of G-Secs, the CBA may obtain access to a higher volume of G-Secs from the secondary market </w:t>
      </w:r>
      <w:r w:rsidR="00C35941">
        <w:rPr>
          <w:rFonts w:eastAsia="Times New Roman" w:cs="Arial"/>
        </w:rPr>
        <w:t xml:space="preserve">and undertake outright sales </w:t>
      </w:r>
      <w:r w:rsidR="00FA0364">
        <w:rPr>
          <w:rFonts w:eastAsia="Times New Roman" w:cs="Arial"/>
        </w:rPr>
        <w:t xml:space="preserve">which could </w:t>
      </w:r>
      <w:r w:rsidR="00C35941">
        <w:rPr>
          <w:rFonts w:eastAsia="Times New Roman" w:cs="Arial"/>
        </w:rPr>
        <w:t>drain excess liquidity from the system which are more enduring in nature</w:t>
      </w:r>
      <w:r w:rsidR="00FA0364">
        <w:rPr>
          <w:rFonts w:eastAsia="Times New Roman" w:cs="Arial"/>
        </w:rPr>
        <w:t xml:space="preserve">. At the same time, deepening the repo market with an active inter-bank market </w:t>
      </w:r>
      <w:r w:rsidR="00C35941">
        <w:rPr>
          <w:rFonts w:eastAsia="Times New Roman" w:cs="Arial"/>
        </w:rPr>
        <w:t xml:space="preserve">through appropriate reforms </w:t>
      </w:r>
      <w:r w:rsidR="00FA0364">
        <w:rPr>
          <w:rFonts w:eastAsia="Times New Roman" w:cs="Arial"/>
        </w:rPr>
        <w:t>could support liquidity management by the CBA. However, under existing strategy of moderate issuance of G-Secs, two options could support CBA’s liquidity management operations.</w:t>
      </w:r>
      <w:r w:rsidR="00C35941">
        <w:rPr>
          <w:rFonts w:eastAsia="Times New Roman" w:cs="Arial"/>
        </w:rPr>
        <w:t xml:space="preserve"> First, the government can issue T-Bills exclusively for monetary policy purpose, the proceeds from which should be ring fenced in a blocked account in the CBA to have the desired impact on liquidity. Another alternative could be that the government can recapitalize CBA by issuance of bonds at market </w:t>
      </w:r>
      <w:proofErr w:type="gramStart"/>
      <w:r w:rsidR="00C35941">
        <w:rPr>
          <w:rFonts w:eastAsia="Times New Roman" w:cs="Arial"/>
        </w:rPr>
        <w:t>prices which</w:t>
      </w:r>
      <w:proofErr w:type="gramEnd"/>
      <w:r w:rsidR="00C35941">
        <w:rPr>
          <w:rFonts w:eastAsia="Times New Roman" w:cs="Arial"/>
        </w:rPr>
        <w:t xml:space="preserve"> could be used for its OMOs. </w:t>
      </w:r>
      <w:r w:rsidR="00DB25F8">
        <w:rPr>
          <w:rFonts w:eastAsia="Times New Roman" w:cs="Arial"/>
        </w:rPr>
        <w:t>Recapitalization</w:t>
      </w:r>
      <w:r w:rsidR="00C35941">
        <w:rPr>
          <w:rFonts w:eastAsia="Times New Roman" w:cs="Arial"/>
        </w:rPr>
        <w:t xml:space="preserve"> of the CBA could be a potentially contentious issue </w:t>
      </w:r>
      <w:proofErr w:type="gramStart"/>
      <w:r w:rsidR="00DB25F8">
        <w:rPr>
          <w:rFonts w:eastAsia="Times New Roman" w:cs="Arial"/>
        </w:rPr>
        <w:t>at this juncture</w:t>
      </w:r>
      <w:proofErr w:type="gramEnd"/>
      <w:r w:rsidR="00DB25F8">
        <w:rPr>
          <w:rFonts w:eastAsia="Times New Roman" w:cs="Arial"/>
        </w:rPr>
        <w:t xml:space="preserve"> when the government is aiming to steer below the debt limit.</w:t>
      </w:r>
      <w:r w:rsidR="00C35941">
        <w:rPr>
          <w:rFonts w:eastAsia="Times New Roman" w:cs="Arial"/>
        </w:rPr>
        <w:t xml:space="preserve">  </w:t>
      </w:r>
      <w:r w:rsidR="00FA0364">
        <w:rPr>
          <w:rFonts w:eastAsia="Times New Roman" w:cs="Arial"/>
        </w:rPr>
        <w:t xml:space="preserve">   </w:t>
      </w:r>
      <w:r>
        <w:rPr>
          <w:rFonts w:eastAsia="Times New Roman" w:cs="Arial"/>
        </w:rPr>
        <w:t xml:space="preserve">   </w:t>
      </w:r>
      <w:r w:rsidR="009545C3">
        <w:rPr>
          <w:rFonts w:eastAsia="Times New Roman" w:cs="Arial"/>
        </w:rPr>
        <w:t xml:space="preserve"> </w:t>
      </w:r>
    </w:p>
    <w:p w14:paraId="55A468D9" w14:textId="77777777" w:rsidR="009545C3" w:rsidRDefault="009545C3" w:rsidP="009545C3">
      <w:pPr>
        <w:jc w:val="both"/>
        <w:rPr>
          <w:b/>
        </w:rPr>
      </w:pPr>
    </w:p>
    <w:p w14:paraId="1F572D31" w14:textId="77777777" w:rsidR="009545C3" w:rsidRDefault="009545C3" w:rsidP="00466D0E">
      <w:pPr>
        <w:pStyle w:val="Topic3"/>
      </w:pPr>
      <w:bookmarkStart w:id="15" w:name="_Toc506537589"/>
      <w:r>
        <w:t>Enhancing Bond Liquidity</w:t>
      </w:r>
      <w:bookmarkEnd w:id="15"/>
    </w:p>
    <w:p w14:paraId="6E6D7AE7" w14:textId="77777777" w:rsidR="009545C3" w:rsidRDefault="009545C3" w:rsidP="009545C3">
      <w:pPr>
        <w:pStyle w:val="ListParagraph"/>
        <w:ind w:left="360"/>
        <w:jc w:val="both"/>
        <w:rPr>
          <w:rFonts w:cs="Arial"/>
        </w:rPr>
      </w:pPr>
    </w:p>
    <w:p w14:paraId="7910E268" w14:textId="3D9BA41C" w:rsidR="009545C3" w:rsidRPr="002B3A31" w:rsidRDefault="009545C3" w:rsidP="009545C3">
      <w:pPr>
        <w:pStyle w:val="ListParagraph"/>
        <w:numPr>
          <w:ilvl w:val="0"/>
          <w:numId w:val="3"/>
        </w:numPr>
        <w:jc w:val="both"/>
        <w:rPr>
          <w:rFonts w:cs="Arial"/>
        </w:rPr>
      </w:pPr>
      <w:r>
        <w:t>Notwithstanding the supply of benchmark bonds across key maturities, the yield curve is very steep, a reflection of currency depreciation expectations</w:t>
      </w:r>
      <w:r w:rsidR="00900B26">
        <w:t xml:space="preserve"> and time</w:t>
      </w:r>
      <w:r w:rsidR="00086991">
        <w:t>-</w:t>
      </w:r>
      <w:r w:rsidR="00900B26">
        <w:t>varying liquidity premium</w:t>
      </w:r>
      <w:r>
        <w:t xml:space="preserve">. Real interest rate on T-Bills was as high as 5 percent during the third quarter of </w:t>
      </w:r>
      <w:r>
        <w:lastRenderedPageBreak/>
        <w:t xml:space="preserve">2017 although it has declined since 2016 with the easing of monetary policy. Despite declining yields, the spread of Medium Term Notes at 226 basis points and for Long Term Bonds at 384 basis points with respect to T-Bills remained at elevated levels (Table </w:t>
      </w:r>
      <w:r w:rsidR="00A44065">
        <w:t>9</w:t>
      </w:r>
      <w:r>
        <w:t xml:space="preserve">). The G-Sec market is nascent with very high liquidity and term premiums and the cost structure </w:t>
      </w:r>
      <w:proofErr w:type="gramStart"/>
      <w:r>
        <w:t>is not underpinned</w:t>
      </w:r>
      <w:proofErr w:type="gramEnd"/>
      <w:r>
        <w:t xml:space="preserve"> by effective intertemporal arbitrage by market participants and CBA’s effective systemic liquidity management. </w:t>
      </w:r>
    </w:p>
    <w:p w14:paraId="17CA9E9A" w14:textId="77777777" w:rsidR="009545C3" w:rsidRDefault="009545C3" w:rsidP="009545C3">
      <w:pPr>
        <w:jc w:val="both"/>
        <w:rPr>
          <w:rFonts w:cs="Arial"/>
        </w:rPr>
      </w:pPr>
    </w:p>
    <w:p w14:paraId="5333464C" w14:textId="16F38CAF" w:rsidR="009545C3" w:rsidRDefault="009545C3" w:rsidP="009545C3">
      <w:pPr>
        <w:jc w:val="both"/>
        <w:rPr>
          <w:rFonts w:cs="Arial"/>
        </w:rPr>
      </w:pPr>
      <w:r>
        <w:rPr>
          <w:rFonts w:cs="Arial"/>
        </w:rPr>
        <w:t xml:space="preserve">Table </w:t>
      </w:r>
      <w:r w:rsidR="00A44065">
        <w:rPr>
          <w:rFonts w:cs="Arial"/>
        </w:rPr>
        <w:t>9</w:t>
      </w:r>
      <w:r>
        <w:rPr>
          <w:rFonts w:cs="Arial"/>
        </w:rPr>
        <w:t>: Average Quarterly Yield on Government Securities (percent)</w:t>
      </w:r>
    </w:p>
    <w:tbl>
      <w:tblPr>
        <w:tblW w:w="76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0"/>
        <w:gridCol w:w="960"/>
        <w:gridCol w:w="960"/>
        <w:gridCol w:w="960"/>
        <w:gridCol w:w="960"/>
        <w:gridCol w:w="960"/>
      </w:tblGrid>
      <w:tr w:rsidR="009545C3" w:rsidRPr="00A01134" w14:paraId="5C68A54E" w14:textId="77777777" w:rsidTr="00F528C6">
        <w:trPr>
          <w:trHeight w:val="300"/>
        </w:trPr>
        <w:tc>
          <w:tcPr>
            <w:tcW w:w="2840" w:type="dxa"/>
            <w:tcBorders>
              <w:top w:val="single" w:sz="4" w:space="0" w:color="auto"/>
              <w:bottom w:val="single" w:sz="4" w:space="0" w:color="auto"/>
              <w:right w:val="single" w:sz="4" w:space="0" w:color="auto"/>
            </w:tcBorders>
            <w:shd w:val="clear" w:color="auto" w:fill="auto"/>
            <w:noWrap/>
            <w:vAlign w:val="bottom"/>
            <w:hideMark/>
          </w:tcPr>
          <w:p w14:paraId="711CAEF8" w14:textId="77777777" w:rsidR="009545C3" w:rsidRPr="00A01134" w:rsidRDefault="009545C3" w:rsidP="00F528C6">
            <w:pPr>
              <w:rPr>
                <w:rFonts w:ascii="Times New Roman" w:eastAsia="Times New Roman" w:hAnsi="Times New Roman" w:cs="Times New Roman"/>
                <w:sz w:val="24"/>
                <w:szCs w:val="24"/>
                <w:lang w:eastAsia="en-GB"/>
              </w:rPr>
            </w:pPr>
          </w:p>
        </w:tc>
        <w:tc>
          <w:tcPr>
            <w:tcW w:w="960" w:type="dxa"/>
            <w:tcBorders>
              <w:top w:val="single" w:sz="4" w:space="0" w:color="auto"/>
              <w:left w:val="single" w:sz="4" w:space="0" w:color="auto"/>
              <w:bottom w:val="single" w:sz="4" w:space="0" w:color="auto"/>
            </w:tcBorders>
            <w:shd w:val="clear" w:color="auto" w:fill="auto"/>
            <w:noWrap/>
            <w:vAlign w:val="bottom"/>
            <w:hideMark/>
          </w:tcPr>
          <w:p w14:paraId="7471465E"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2016 Q3</w:t>
            </w:r>
          </w:p>
        </w:tc>
        <w:tc>
          <w:tcPr>
            <w:tcW w:w="960" w:type="dxa"/>
            <w:tcBorders>
              <w:top w:val="single" w:sz="4" w:space="0" w:color="auto"/>
              <w:bottom w:val="single" w:sz="4" w:space="0" w:color="auto"/>
            </w:tcBorders>
            <w:shd w:val="clear" w:color="auto" w:fill="auto"/>
            <w:noWrap/>
            <w:vAlign w:val="bottom"/>
            <w:hideMark/>
          </w:tcPr>
          <w:p w14:paraId="38A5821B"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2016 Q4</w:t>
            </w:r>
          </w:p>
        </w:tc>
        <w:tc>
          <w:tcPr>
            <w:tcW w:w="960" w:type="dxa"/>
            <w:tcBorders>
              <w:top w:val="single" w:sz="4" w:space="0" w:color="auto"/>
              <w:bottom w:val="single" w:sz="4" w:space="0" w:color="auto"/>
            </w:tcBorders>
            <w:shd w:val="clear" w:color="auto" w:fill="auto"/>
            <w:noWrap/>
            <w:vAlign w:val="bottom"/>
            <w:hideMark/>
          </w:tcPr>
          <w:p w14:paraId="407D0652"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2017 Q1</w:t>
            </w:r>
          </w:p>
        </w:tc>
        <w:tc>
          <w:tcPr>
            <w:tcW w:w="960" w:type="dxa"/>
            <w:tcBorders>
              <w:top w:val="single" w:sz="4" w:space="0" w:color="auto"/>
              <w:bottom w:val="single" w:sz="4" w:space="0" w:color="auto"/>
            </w:tcBorders>
            <w:shd w:val="clear" w:color="auto" w:fill="auto"/>
            <w:noWrap/>
            <w:vAlign w:val="bottom"/>
            <w:hideMark/>
          </w:tcPr>
          <w:p w14:paraId="176860B1"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2017 Q2</w:t>
            </w:r>
          </w:p>
        </w:tc>
        <w:tc>
          <w:tcPr>
            <w:tcW w:w="960" w:type="dxa"/>
            <w:tcBorders>
              <w:top w:val="single" w:sz="4" w:space="0" w:color="auto"/>
              <w:bottom w:val="single" w:sz="4" w:space="0" w:color="auto"/>
            </w:tcBorders>
            <w:shd w:val="clear" w:color="auto" w:fill="auto"/>
            <w:noWrap/>
            <w:vAlign w:val="bottom"/>
            <w:hideMark/>
          </w:tcPr>
          <w:p w14:paraId="1A52252B"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2017 Q3</w:t>
            </w:r>
          </w:p>
        </w:tc>
      </w:tr>
      <w:tr w:rsidR="009545C3" w:rsidRPr="00A01134" w14:paraId="47C453D9" w14:textId="77777777" w:rsidTr="00F528C6">
        <w:trPr>
          <w:trHeight w:val="300"/>
        </w:trPr>
        <w:tc>
          <w:tcPr>
            <w:tcW w:w="2840" w:type="dxa"/>
            <w:tcBorders>
              <w:top w:val="single" w:sz="4" w:space="0" w:color="auto"/>
              <w:right w:val="single" w:sz="4" w:space="0" w:color="auto"/>
            </w:tcBorders>
            <w:shd w:val="clear" w:color="auto" w:fill="auto"/>
            <w:noWrap/>
            <w:vAlign w:val="bottom"/>
            <w:hideMark/>
          </w:tcPr>
          <w:p w14:paraId="359A9480"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C</w:t>
            </w:r>
            <w:r>
              <w:rPr>
                <w:rFonts w:ascii="Calibri" w:eastAsia="Times New Roman" w:hAnsi="Calibri" w:cs="Calibri"/>
                <w:color w:val="000000"/>
                <w:lang w:eastAsia="en-GB"/>
              </w:rPr>
              <w:t xml:space="preserve">BA </w:t>
            </w:r>
            <w:r w:rsidRPr="00A01134">
              <w:rPr>
                <w:rFonts w:ascii="Calibri" w:eastAsia="Times New Roman" w:hAnsi="Calibri" w:cs="Calibri"/>
                <w:color w:val="000000"/>
                <w:lang w:eastAsia="en-GB"/>
              </w:rPr>
              <w:t>Refinancing Rate</w:t>
            </w:r>
          </w:p>
        </w:tc>
        <w:tc>
          <w:tcPr>
            <w:tcW w:w="960" w:type="dxa"/>
            <w:tcBorders>
              <w:top w:val="single" w:sz="4" w:space="0" w:color="auto"/>
              <w:left w:val="single" w:sz="4" w:space="0" w:color="auto"/>
            </w:tcBorders>
            <w:shd w:val="clear" w:color="auto" w:fill="auto"/>
            <w:noWrap/>
            <w:vAlign w:val="bottom"/>
            <w:hideMark/>
          </w:tcPr>
          <w:p w14:paraId="063FD350"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6.75</w:t>
            </w:r>
          </w:p>
        </w:tc>
        <w:tc>
          <w:tcPr>
            <w:tcW w:w="960" w:type="dxa"/>
            <w:tcBorders>
              <w:top w:val="single" w:sz="4" w:space="0" w:color="auto"/>
            </w:tcBorders>
            <w:shd w:val="clear" w:color="auto" w:fill="auto"/>
            <w:noWrap/>
            <w:vAlign w:val="bottom"/>
            <w:hideMark/>
          </w:tcPr>
          <w:p w14:paraId="599A4B40"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6.25</w:t>
            </w:r>
          </w:p>
        </w:tc>
        <w:tc>
          <w:tcPr>
            <w:tcW w:w="960" w:type="dxa"/>
            <w:tcBorders>
              <w:top w:val="single" w:sz="4" w:space="0" w:color="auto"/>
            </w:tcBorders>
            <w:shd w:val="clear" w:color="auto" w:fill="auto"/>
            <w:noWrap/>
            <w:vAlign w:val="bottom"/>
            <w:hideMark/>
          </w:tcPr>
          <w:p w14:paraId="0F45B004"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w:t>
            </w:r>
          </w:p>
        </w:tc>
        <w:tc>
          <w:tcPr>
            <w:tcW w:w="960" w:type="dxa"/>
            <w:tcBorders>
              <w:top w:val="single" w:sz="4" w:space="0" w:color="auto"/>
            </w:tcBorders>
            <w:shd w:val="clear" w:color="auto" w:fill="auto"/>
            <w:noWrap/>
            <w:vAlign w:val="bottom"/>
            <w:hideMark/>
          </w:tcPr>
          <w:p w14:paraId="7F7E5427"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w:t>
            </w:r>
          </w:p>
        </w:tc>
        <w:tc>
          <w:tcPr>
            <w:tcW w:w="960" w:type="dxa"/>
            <w:tcBorders>
              <w:top w:val="single" w:sz="4" w:space="0" w:color="auto"/>
            </w:tcBorders>
            <w:shd w:val="clear" w:color="auto" w:fill="auto"/>
            <w:noWrap/>
            <w:vAlign w:val="bottom"/>
            <w:hideMark/>
          </w:tcPr>
          <w:p w14:paraId="2C6F600B"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w:t>
            </w:r>
          </w:p>
        </w:tc>
      </w:tr>
      <w:tr w:rsidR="009545C3" w:rsidRPr="00A01134" w14:paraId="1DD30044" w14:textId="77777777" w:rsidTr="00F528C6">
        <w:trPr>
          <w:trHeight w:val="300"/>
        </w:trPr>
        <w:tc>
          <w:tcPr>
            <w:tcW w:w="2840" w:type="dxa"/>
            <w:tcBorders>
              <w:right w:val="single" w:sz="4" w:space="0" w:color="auto"/>
            </w:tcBorders>
            <w:shd w:val="clear" w:color="auto" w:fill="auto"/>
            <w:noWrap/>
            <w:vAlign w:val="bottom"/>
            <w:hideMark/>
          </w:tcPr>
          <w:p w14:paraId="51D17B1B"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T-Bill</w:t>
            </w:r>
          </w:p>
        </w:tc>
        <w:tc>
          <w:tcPr>
            <w:tcW w:w="960" w:type="dxa"/>
            <w:tcBorders>
              <w:left w:val="single" w:sz="4" w:space="0" w:color="auto"/>
            </w:tcBorders>
            <w:shd w:val="clear" w:color="auto" w:fill="auto"/>
            <w:noWrap/>
            <w:vAlign w:val="bottom"/>
            <w:hideMark/>
          </w:tcPr>
          <w:p w14:paraId="6C6C9B64" w14:textId="77777777" w:rsidR="009545C3" w:rsidRPr="00A01134" w:rsidRDefault="009545C3" w:rsidP="00F528C6">
            <w:pPr>
              <w:jc w:val="right"/>
              <w:rPr>
                <w:rFonts w:ascii="GHEA Grapalat" w:eastAsia="Times New Roman" w:hAnsi="GHEA Grapalat" w:cs="Calibri"/>
                <w:sz w:val="20"/>
                <w:szCs w:val="20"/>
                <w:lang w:eastAsia="en-GB"/>
              </w:rPr>
            </w:pPr>
            <w:r w:rsidRPr="00A01134">
              <w:rPr>
                <w:rFonts w:ascii="GHEA Grapalat" w:eastAsia="Times New Roman" w:hAnsi="GHEA Grapalat" w:cs="Calibri"/>
                <w:sz w:val="20"/>
                <w:szCs w:val="20"/>
                <w:lang w:eastAsia="en-GB"/>
              </w:rPr>
              <w:t>7.87</w:t>
            </w:r>
          </w:p>
        </w:tc>
        <w:tc>
          <w:tcPr>
            <w:tcW w:w="960" w:type="dxa"/>
            <w:shd w:val="clear" w:color="auto" w:fill="auto"/>
            <w:noWrap/>
            <w:vAlign w:val="bottom"/>
            <w:hideMark/>
          </w:tcPr>
          <w:p w14:paraId="1D922A57"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6.65</w:t>
            </w:r>
          </w:p>
        </w:tc>
        <w:tc>
          <w:tcPr>
            <w:tcW w:w="960" w:type="dxa"/>
            <w:shd w:val="clear" w:color="auto" w:fill="auto"/>
            <w:noWrap/>
            <w:vAlign w:val="bottom"/>
            <w:hideMark/>
          </w:tcPr>
          <w:p w14:paraId="0B6F0B5F"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7.21</w:t>
            </w:r>
          </w:p>
        </w:tc>
        <w:tc>
          <w:tcPr>
            <w:tcW w:w="960" w:type="dxa"/>
            <w:shd w:val="clear" w:color="auto" w:fill="auto"/>
            <w:noWrap/>
            <w:vAlign w:val="bottom"/>
            <w:hideMark/>
          </w:tcPr>
          <w:p w14:paraId="3E140517"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6.56</w:t>
            </w:r>
          </w:p>
        </w:tc>
        <w:tc>
          <w:tcPr>
            <w:tcW w:w="960" w:type="dxa"/>
            <w:shd w:val="clear" w:color="auto" w:fill="auto"/>
            <w:noWrap/>
            <w:vAlign w:val="bottom"/>
            <w:hideMark/>
          </w:tcPr>
          <w:p w14:paraId="21142B6F"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6.19</w:t>
            </w:r>
          </w:p>
        </w:tc>
      </w:tr>
      <w:tr w:rsidR="009545C3" w:rsidRPr="00A01134" w14:paraId="7DA7DE74" w14:textId="77777777" w:rsidTr="00F528C6">
        <w:trPr>
          <w:trHeight w:val="300"/>
        </w:trPr>
        <w:tc>
          <w:tcPr>
            <w:tcW w:w="2840" w:type="dxa"/>
            <w:tcBorders>
              <w:right w:val="single" w:sz="4" w:space="0" w:color="auto"/>
            </w:tcBorders>
            <w:shd w:val="clear" w:color="auto" w:fill="auto"/>
            <w:noWrap/>
            <w:vAlign w:val="bottom"/>
            <w:hideMark/>
          </w:tcPr>
          <w:p w14:paraId="42BDFA5C"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Medium Term Notes</w:t>
            </w:r>
          </w:p>
        </w:tc>
        <w:tc>
          <w:tcPr>
            <w:tcW w:w="960" w:type="dxa"/>
            <w:tcBorders>
              <w:left w:val="single" w:sz="4" w:space="0" w:color="auto"/>
            </w:tcBorders>
            <w:shd w:val="clear" w:color="auto" w:fill="auto"/>
            <w:noWrap/>
            <w:vAlign w:val="bottom"/>
            <w:hideMark/>
          </w:tcPr>
          <w:p w14:paraId="0D3A641B"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11.36</w:t>
            </w:r>
          </w:p>
        </w:tc>
        <w:tc>
          <w:tcPr>
            <w:tcW w:w="960" w:type="dxa"/>
            <w:shd w:val="clear" w:color="auto" w:fill="auto"/>
            <w:noWrap/>
            <w:vAlign w:val="bottom"/>
            <w:hideMark/>
          </w:tcPr>
          <w:p w14:paraId="141F1AA1"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10.13</w:t>
            </w:r>
          </w:p>
        </w:tc>
        <w:tc>
          <w:tcPr>
            <w:tcW w:w="960" w:type="dxa"/>
            <w:shd w:val="clear" w:color="auto" w:fill="auto"/>
            <w:noWrap/>
            <w:vAlign w:val="bottom"/>
            <w:hideMark/>
          </w:tcPr>
          <w:p w14:paraId="084D5C85"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9.97</w:t>
            </w:r>
          </w:p>
        </w:tc>
        <w:tc>
          <w:tcPr>
            <w:tcW w:w="960" w:type="dxa"/>
            <w:shd w:val="clear" w:color="auto" w:fill="auto"/>
            <w:noWrap/>
            <w:vAlign w:val="bottom"/>
            <w:hideMark/>
          </w:tcPr>
          <w:p w14:paraId="1AE31F7A"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8.76</w:t>
            </w:r>
          </w:p>
        </w:tc>
        <w:tc>
          <w:tcPr>
            <w:tcW w:w="960" w:type="dxa"/>
            <w:shd w:val="clear" w:color="auto" w:fill="auto"/>
            <w:noWrap/>
            <w:vAlign w:val="bottom"/>
            <w:hideMark/>
          </w:tcPr>
          <w:p w14:paraId="163B57E6"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8.45</w:t>
            </w:r>
          </w:p>
        </w:tc>
      </w:tr>
      <w:tr w:rsidR="009545C3" w:rsidRPr="00A01134" w14:paraId="50C618FE" w14:textId="77777777" w:rsidTr="00F528C6">
        <w:trPr>
          <w:trHeight w:val="300"/>
        </w:trPr>
        <w:tc>
          <w:tcPr>
            <w:tcW w:w="2840" w:type="dxa"/>
            <w:tcBorders>
              <w:right w:val="single" w:sz="4" w:space="0" w:color="auto"/>
            </w:tcBorders>
            <w:shd w:val="clear" w:color="auto" w:fill="auto"/>
            <w:noWrap/>
            <w:vAlign w:val="bottom"/>
            <w:hideMark/>
          </w:tcPr>
          <w:p w14:paraId="2C0E086B" w14:textId="77777777" w:rsidR="009545C3" w:rsidRPr="00A01134" w:rsidRDefault="009545C3" w:rsidP="00F528C6">
            <w:pPr>
              <w:rPr>
                <w:rFonts w:ascii="Calibri" w:eastAsia="Times New Roman" w:hAnsi="Calibri" w:cs="Calibri"/>
                <w:color w:val="000000"/>
                <w:lang w:eastAsia="en-GB"/>
              </w:rPr>
            </w:pPr>
            <w:r w:rsidRPr="00A01134">
              <w:rPr>
                <w:rFonts w:ascii="Calibri" w:eastAsia="Times New Roman" w:hAnsi="Calibri" w:cs="Calibri"/>
                <w:color w:val="000000"/>
                <w:lang w:eastAsia="en-GB"/>
              </w:rPr>
              <w:t>Long Term Bonds</w:t>
            </w:r>
          </w:p>
        </w:tc>
        <w:tc>
          <w:tcPr>
            <w:tcW w:w="960" w:type="dxa"/>
            <w:tcBorders>
              <w:left w:val="single" w:sz="4" w:space="0" w:color="auto"/>
              <w:bottom w:val="single" w:sz="4" w:space="0" w:color="auto"/>
            </w:tcBorders>
            <w:shd w:val="clear" w:color="auto" w:fill="auto"/>
            <w:noWrap/>
            <w:vAlign w:val="bottom"/>
            <w:hideMark/>
          </w:tcPr>
          <w:p w14:paraId="3165C983"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14.16</w:t>
            </w:r>
          </w:p>
        </w:tc>
        <w:tc>
          <w:tcPr>
            <w:tcW w:w="960" w:type="dxa"/>
            <w:shd w:val="clear" w:color="auto" w:fill="auto"/>
            <w:noWrap/>
            <w:vAlign w:val="bottom"/>
            <w:hideMark/>
          </w:tcPr>
          <w:p w14:paraId="28F07BDC"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13.65</w:t>
            </w:r>
          </w:p>
        </w:tc>
        <w:tc>
          <w:tcPr>
            <w:tcW w:w="960" w:type="dxa"/>
            <w:shd w:val="clear" w:color="auto" w:fill="auto"/>
            <w:noWrap/>
            <w:vAlign w:val="bottom"/>
            <w:hideMark/>
          </w:tcPr>
          <w:p w14:paraId="2CCC7586"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13.18</w:t>
            </w:r>
          </w:p>
        </w:tc>
        <w:tc>
          <w:tcPr>
            <w:tcW w:w="960" w:type="dxa"/>
            <w:shd w:val="clear" w:color="auto" w:fill="auto"/>
            <w:noWrap/>
            <w:vAlign w:val="bottom"/>
            <w:hideMark/>
          </w:tcPr>
          <w:p w14:paraId="3AC55DE9"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13.03</w:t>
            </w:r>
          </w:p>
        </w:tc>
        <w:tc>
          <w:tcPr>
            <w:tcW w:w="960" w:type="dxa"/>
            <w:shd w:val="clear" w:color="auto" w:fill="auto"/>
            <w:noWrap/>
            <w:vAlign w:val="bottom"/>
            <w:hideMark/>
          </w:tcPr>
          <w:p w14:paraId="40B09161" w14:textId="77777777" w:rsidR="009545C3" w:rsidRPr="00A01134" w:rsidRDefault="009545C3" w:rsidP="00F528C6">
            <w:pPr>
              <w:jc w:val="right"/>
              <w:rPr>
                <w:rFonts w:ascii="Calibri" w:eastAsia="Times New Roman" w:hAnsi="Calibri" w:cs="Calibri"/>
                <w:color w:val="000000"/>
                <w:lang w:eastAsia="en-GB"/>
              </w:rPr>
            </w:pPr>
            <w:r w:rsidRPr="00A01134">
              <w:rPr>
                <w:rFonts w:ascii="Calibri" w:eastAsia="Times New Roman" w:hAnsi="Calibri" w:cs="Calibri"/>
                <w:color w:val="000000"/>
                <w:lang w:eastAsia="en-GB"/>
              </w:rPr>
              <w:t>10.03</w:t>
            </w:r>
          </w:p>
        </w:tc>
      </w:tr>
    </w:tbl>
    <w:p w14:paraId="5AB9B18C" w14:textId="77777777" w:rsidR="009545C3" w:rsidRPr="00CC09A5" w:rsidRDefault="009545C3" w:rsidP="009545C3">
      <w:pPr>
        <w:jc w:val="both"/>
        <w:rPr>
          <w:rFonts w:cs="Arial"/>
          <w:sz w:val="18"/>
          <w:szCs w:val="18"/>
        </w:rPr>
      </w:pPr>
      <w:r w:rsidRPr="00CC09A5">
        <w:rPr>
          <w:rFonts w:cs="Arial"/>
          <w:sz w:val="18"/>
          <w:szCs w:val="18"/>
        </w:rPr>
        <w:t>Source: Central Bank of Armenia</w:t>
      </w:r>
    </w:p>
    <w:p w14:paraId="20DD2991" w14:textId="77777777" w:rsidR="009545C3" w:rsidRPr="006A130D" w:rsidRDefault="009545C3" w:rsidP="009545C3">
      <w:pPr>
        <w:jc w:val="both"/>
        <w:rPr>
          <w:rFonts w:cs="Arial"/>
        </w:rPr>
      </w:pPr>
    </w:p>
    <w:p w14:paraId="781DBEF9" w14:textId="4132E8AF" w:rsidR="00900B26" w:rsidRPr="00900B26" w:rsidRDefault="00900B26" w:rsidP="009545C3">
      <w:pPr>
        <w:pStyle w:val="ListParagraph"/>
        <w:numPr>
          <w:ilvl w:val="0"/>
          <w:numId w:val="3"/>
        </w:numPr>
        <w:jc w:val="both"/>
        <w:rPr>
          <w:rFonts w:cs="Arial"/>
        </w:rPr>
      </w:pPr>
      <w:r w:rsidRPr="009C00DC">
        <w:t xml:space="preserve">A lack of liquid financial instruments for banks’ liquidity management, and banks’ level of precautionary reserves in AMD reveals a lack of confidence in the effectiveness of CBA’s systemic liquidity management </w:t>
      </w:r>
      <w:proofErr w:type="gramStart"/>
      <w:r w:rsidRPr="009C00DC">
        <w:t>being sustained</w:t>
      </w:r>
      <w:proofErr w:type="gramEnd"/>
      <w:r w:rsidRPr="009C00DC">
        <w:t xml:space="preserve"> into the future. CBA’s interest rate targeting objectives lacks transparency with its inflation targeting statement not </w:t>
      </w:r>
      <w:proofErr w:type="gramStart"/>
      <w:r w:rsidRPr="009C00DC">
        <w:t>being reflected</w:t>
      </w:r>
      <w:proofErr w:type="gramEnd"/>
      <w:r w:rsidRPr="009C00DC">
        <w:t xml:space="preserve"> in its policy rate decisions. As </w:t>
      </w:r>
      <w:proofErr w:type="gramStart"/>
      <w:r w:rsidRPr="009C00DC">
        <w:t>such</w:t>
      </w:r>
      <w:proofErr w:type="gramEnd"/>
      <w:r w:rsidRPr="009C00DC">
        <w:t xml:space="preserve"> market participants cannot estimate a transparent reaction function for CBA’s policy rate decisions which holds back the development of the interest rate transmission mechanism.</w:t>
      </w:r>
    </w:p>
    <w:p w14:paraId="79AB719F" w14:textId="77777777" w:rsidR="00900B26" w:rsidRDefault="00900B26" w:rsidP="009C00DC">
      <w:pPr>
        <w:pStyle w:val="ListParagraph"/>
        <w:ind w:left="360"/>
        <w:jc w:val="both"/>
        <w:rPr>
          <w:rFonts w:cs="Arial"/>
        </w:rPr>
      </w:pPr>
    </w:p>
    <w:p w14:paraId="5F90741E" w14:textId="1868C621" w:rsidR="009545C3" w:rsidRDefault="009545C3" w:rsidP="009545C3">
      <w:pPr>
        <w:pStyle w:val="ListParagraph"/>
        <w:numPr>
          <w:ilvl w:val="0"/>
          <w:numId w:val="3"/>
        </w:numPr>
        <w:jc w:val="both"/>
        <w:rPr>
          <w:rFonts w:cs="Arial"/>
        </w:rPr>
      </w:pPr>
      <w:r w:rsidRPr="00E76ED2">
        <w:rPr>
          <w:rFonts w:cs="Arial"/>
        </w:rPr>
        <w:t xml:space="preserve">The </w:t>
      </w:r>
      <w:r>
        <w:rPr>
          <w:rFonts w:cs="Arial"/>
        </w:rPr>
        <w:t>government securities</w:t>
      </w:r>
      <w:r w:rsidRPr="00E76ED2">
        <w:rPr>
          <w:rFonts w:cs="Arial"/>
        </w:rPr>
        <w:t xml:space="preserve"> market lack</w:t>
      </w:r>
      <w:r>
        <w:rPr>
          <w:rFonts w:cs="Arial"/>
        </w:rPr>
        <w:t>s</w:t>
      </w:r>
      <w:r w:rsidRPr="00E76ED2">
        <w:rPr>
          <w:rFonts w:cs="Arial"/>
        </w:rPr>
        <w:t xml:space="preserve"> </w:t>
      </w:r>
      <w:r>
        <w:rPr>
          <w:rFonts w:cs="Arial"/>
        </w:rPr>
        <w:t xml:space="preserve">sufficient </w:t>
      </w:r>
      <w:r w:rsidRPr="00E76ED2">
        <w:rPr>
          <w:rFonts w:cs="Arial"/>
        </w:rPr>
        <w:t xml:space="preserve">depth and liquidity. </w:t>
      </w:r>
      <w:r>
        <w:rPr>
          <w:rFonts w:cs="Arial"/>
        </w:rPr>
        <w:t xml:space="preserve">Annual trading of G-Sec which increased by 82.0 percent during 2016 amounted to an annual turnover ratio of 20.1 percent of the outstanding stock (Table </w:t>
      </w:r>
      <w:r w:rsidR="00A44065">
        <w:rPr>
          <w:rFonts w:cs="Arial"/>
        </w:rPr>
        <w:t>10</w:t>
      </w:r>
      <w:r>
        <w:rPr>
          <w:rFonts w:cs="Arial"/>
        </w:rPr>
        <w:t xml:space="preserve">). As much as 81.6 percent of the secondary market transactions took place in the interbank market while the NASDAQ-OMX stock exchange accounted for 16.3 percent of the trade. Annual trading activity in </w:t>
      </w:r>
      <w:proofErr w:type="gramStart"/>
      <w:r>
        <w:rPr>
          <w:rFonts w:cs="Arial"/>
        </w:rPr>
        <w:t>NASDAQ which</w:t>
      </w:r>
      <w:proofErr w:type="gramEnd"/>
      <w:r>
        <w:rPr>
          <w:rFonts w:cs="Arial"/>
        </w:rPr>
        <w:t xml:space="preserve"> trebled during 2016 increased by 19.3 percent in 2017. </w:t>
      </w:r>
    </w:p>
    <w:p w14:paraId="43C397F0" w14:textId="77777777" w:rsidR="009545C3" w:rsidRDefault="009545C3" w:rsidP="009545C3">
      <w:pPr>
        <w:pStyle w:val="ListParagraph"/>
        <w:ind w:left="360"/>
        <w:jc w:val="both"/>
        <w:rPr>
          <w:rFonts w:cs="Arial"/>
        </w:rPr>
      </w:pPr>
    </w:p>
    <w:p w14:paraId="41A8A163" w14:textId="0685AE71" w:rsidR="009545C3" w:rsidRPr="009C0BB9" w:rsidRDefault="009545C3" w:rsidP="009545C3">
      <w:pPr>
        <w:ind w:left="360"/>
        <w:jc w:val="center"/>
        <w:rPr>
          <w:rFonts w:ascii="GHEA Grapalat" w:hAnsi="GHEA Grapalat"/>
          <w:sz w:val="24"/>
          <w:szCs w:val="24"/>
        </w:rPr>
      </w:pPr>
      <w:r w:rsidRPr="009C0BB9">
        <w:rPr>
          <w:rFonts w:ascii="GHEA Grapalat" w:hAnsi="GHEA Grapalat"/>
          <w:sz w:val="24"/>
          <w:szCs w:val="24"/>
        </w:rPr>
        <w:t xml:space="preserve">Table </w:t>
      </w:r>
      <w:r w:rsidR="00A44065">
        <w:rPr>
          <w:rFonts w:ascii="GHEA Grapalat" w:hAnsi="GHEA Grapalat"/>
          <w:sz w:val="24"/>
          <w:szCs w:val="24"/>
        </w:rPr>
        <w:t>10</w:t>
      </w:r>
      <w:r w:rsidRPr="009C0BB9">
        <w:rPr>
          <w:rFonts w:ascii="GHEA Grapalat" w:hAnsi="GHEA Grapalat"/>
          <w:sz w:val="24"/>
          <w:szCs w:val="24"/>
        </w:rPr>
        <w:t xml:space="preserve">: Transactions on Government </w:t>
      </w:r>
      <w:r w:rsidR="00A50926">
        <w:rPr>
          <w:rFonts w:ascii="GHEA Grapalat" w:hAnsi="GHEA Grapalat"/>
          <w:sz w:val="24"/>
          <w:szCs w:val="24"/>
        </w:rPr>
        <w:t>S</w:t>
      </w:r>
      <w:r w:rsidRPr="009C0BB9">
        <w:rPr>
          <w:rFonts w:ascii="GHEA Grapalat" w:hAnsi="GHEA Grapalat"/>
          <w:sz w:val="24"/>
          <w:szCs w:val="24"/>
        </w:rPr>
        <w:t xml:space="preserve">ecurities in the </w:t>
      </w:r>
      <w:r w:rsidR="00A50926">
        <w:rPr>
          <w:rFonts w:ascii="GHEA Grapalat" w:hAnsi="GHEA Grapalat"/>
          <w:sz w:val="24"/>
          <w:szCs w:val="24"/>
        </w:rPr>
        <w:t>S</w:t>
      </w:r>
      <w:r w:rsidRPr="009C0BB9">
        <w:rPr>
          <w:rFonts w:ascii="GHEA Grapalat" w:hAnsi="GHEA Grapalat"/>
          <w:sz w:val="24"/>
          <w:szCs w:val="24"/>
        </w:rPr>
        <w:t xml:space="preserve">econdary </w:t>
      </w:r>
      <w:r w:rsidR="00A50926">
        <w:rPr>
          <w:rFonts w:ascii="GHEA Grapalat" w:hAnsi="GHEA Grapalat"/>
          <w:sz w:val="24"/>
          <w:szCs w:val="24"/>
        </w:rPr>
        <w:t>M</w:t>
      </w:r>
      <w:r w:rsidRPr="009C0BB9">
        <w:rPr>
          <w:rFonts w:ascii="GHEA Grapalat" w:hAnsi="GHEA Grapalat"/>
          <w:sz w:val="24"/>
          <w:szCs w:val="24"/>
        </w:rPr>
        <w:t>arket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71"/>
        <w:gridCol w:w="1504"/>
        <w:gridCol w:w="1285"/>
      </w:tblGrid>
      <w:tr w:rsidR="009545C3" w:rsidRPr="005D6796" w14:paraId="176AFAE4" w14:textId="77777777" w:rsidTr="00F528C6">
        <w:trPr>
          <w:trHeight w:val="329"/>
        </w:trPr>
        <w:tc>
          <w:tcPr>
            <w:tcW w:w="6571" w:type="dxa"/>
            <w:tcBorders>
              <w:bottom w:val="single" w:sz="4" w:space="0" w:color="auto"/>
            </w:tcBorders>
            <w:shd w:val="clear" w:color="auto" w:fill="auto"/>
          </w:tcPr>
          <w:p w14:paraId="7D442C93" w14:textId="77777777" w:rsidR="009545C3" w:rsidRPr="00D93A11" w:rsidRDefault="009545C3" w:rsidP="00F528C6">
            <w:pPr>
              <w:jc w:val="both"/>
              <w:rPr>
                <w:rFonts w:ascii="GHEA Grapalat" w:hAnsi="GHEA Grapalat"/>
                <w:b/>
                <w:sz w:val="24"/>
                <w:szCs w:val="24"/>
                <w:highlight w:val="yellow"/>
              </w:rPr>
            </w:pPr>
          </w:p>
        </w:tc>
        <w:tc>
          <w:tcPr>
            <w:tcW w:w="1504" w:type="dxa"/>
            <w:tcBorders>
              <w:bottom w:val="single" w:sz="4" w:space="0" w:color="auto"/>
            </w:tcBorders>
            <w:shd w:val="clear" w:color="auto" w:fill="auto"/>
            <w:hideMark/>
          </w:tcPr>
          <w:p w14:paraId="3B6F0CE5" w14:textId="77777777" w:rsidR="009545C3" w:rsidRPr="00D93A11" w:rsidRDefault="009545C3" w:rsidP="00F528C6">
            <w:pPr>
              <w:jc w:val="both"/>
              <w:rPr>
                <w:rFonts w:ascii="GHEA Grapalat" w:hAnsi="GHEA Grapalat"/>
                <w:b/>
                <w:sz w:val="24"/>
                <w:szCs w:val="24"/>
              </w:rPr>
            </w:pPr>
            <w:r w:rsidRPr="00D93A11">
              <w:rPr>
                <w:rFonts w:ascii="GHEA Grapalat" w:hAnsi="GHEA Grapalat"/>
                <w:b/>
                <w:sz w:val="24"/>
                <w:szCs w:val="24"/>
              </w:rPr>
              <w:t>2015</w:t>
            </w:r>
          </w:p>
        </w:tc>
        <w:tc>
          <w:tcPr>
            <w:tcW w:w="1285" w:type="dxa"/>
            <w:tcBorders>
              <w:bottom w:val="single" w:sz="4" w:space="0" w:color="auto"/>
            </w:tcBorders>
            <w:shd w:val="clear" w:color="auto" w:fill="auto"/>
            <w:hideMark/>
          </w:tcPr>
          <w:p w14:paraId="2E4E9305" w14:textId="77777777" w:rsidR="009545C3" w:rsidRPr="00D93A11" w:rsidRDefault="009545C3" w:rsidP="00F528C6">
            <w:pPr>
              <w:jc w:val="both"/>
              <w:rPr>
                <w:rFonts w:ascii="GHEA Grapalat" w:hAnsi="GHEA Grapalat"/>
                <w:b/>
                <w:sz w:val="24"/>
                <w:szCs w:val="24"/>
              </w:rPr>
            </w:pPr>
            <w:r w:rsidRPr="00D93A11">
              <w:rPr>
                <w:rFonts w:ascii="GHEA Grapalat" w:hAnsi="GHEA Grapalat"/>
                <w:b/>
                <w:sz w:val="24"/>
                <w:szCs w:val="24"/>
              </w:rPr>
              <w:t>2016</w:t>
            </w:r>
          </w:p>
        </w:tc>
      </w:tr>
      <w:tr w:rsidR="009545C3" w:rsidRPr="005D6796" w14:paraId="7692A870" w14:textId="77777777" w:rsidTr="00F528C6">
        <w:trPr>
          <w:trHeight w:val="329"/>
        </w:trPr>
        <w:tc>
          <w:tcPr>
            <w:tcW w:w="6571" w:type="dxa"/>
            <w:tcBorders>
              <w:top w:val="single" w:sz="4" w:space="0" w:color="auto"/>
              <w:bottom w:val="single" w:sz="4" w:space="0" w:color="auto"/>
            </w:tcBorders>
            <w:hideMark/>
          </w:tcPr>
          <w:p w14:paraId="7E27A8A8" w14:textId="77777777" w:rsidR="009545C3" w:rsidRPr="00D52879" w:rsidRDefault="009545C3" w:rsidP="00F528C6">
            <w:pPr>
              <w:rPr>
                <w:rFonts w:ascii="GHEA Grapalat" w:hAnsi="GHEA Grapalat"/>
                <w:sz w:val="24"/>
                <w:szCs w:val="24"/>
              </w:rPr>
            </w:pPr>
            <w:r w:rsidRPr="00D52879">
              <w:rPr>
                <w:rFonts w:ascii="GHEA Grapalat" w:hAnsi="GHEA Grapalat" w:cs="Sylfaen"/>
              </w:rPr>
              <w:t>N</w:t>
            </w:r>
            <w:r w:rsidRPr="00D52879">
              <w:rPr>
                <w:rFonts w:ascii="GHEA Grapalat" w:hAnsi="GHEA Grapalat" w:cs="Calibri"/>
                <w:sz w:val="24"/>
                <w:szCs w:val="24"/>
                <w:lang w:val="en-GB"/>
              </w:rPr>
              <w:t>umber of transactions</w:t>
            </w:r>
          </w:p>
        </w:tc>
        <w:tc>
          <w:tcPr>
            <w:tcW w:w="1504" w:type="dxa"/>
            <w:tcBorders>
              <w:top w:val="single" w:sz="4" w:space="0" w:color="auto"/>
              <w:bottom w:val="single" w:sz="4" w:space="0" w:color="auto"/>
            </w:tcBorders>
            <w:hideMark/>
          </w:tcPr>
          <w:p w14:paraId="527E3F33" w14:textId="77777777" w:rsidR="009545C3" w:rsidRPr="00D52879" w:rsidRDefault="009545C3" w:rsidP="00F528C6">
            <w:pPr>
              <w:jc w:val="both"/>
              <w:rPr>
                <w:rFonts w:ascii="GHEA Grapalat" w:hAnsi="GHEA Grapalat"/>
                <w:sz w:val="24"/>
                <w:szCs w:val="24"/>
              </w:rPr>
            </w:pPr>
            <w:r w:rsidRPr="00D52879">
              <w:rPr>
                <w:rFonts w:ascii="GHEA Grapalat" w:hAnsi="GHEA Grapalat"/>
                <w:sz w:val="24"/>
                <w:szCs w:val="24"/>
              </w:rPr>
              <w:t>1,425</w:t>
            </w:r>
          </w:p>
        </w:tc>
        <w:tc>
          <w:tcPr>
            <w:tcW w:w="1285" w:type="dxa"/>
            <w:tcBorders>
              <w:top w:val="single" w:sz="4" w:space="0" w:color="auto"/>
              <w:bottom w:val="single" w:sz="4" w:space="0" w:color="auto"/>
            </w:tcBorders>
          </w:tcPr>
          <w:p w14:paraId="504B5F45" w14:textId="77777777" w:rsidR="009545C3" w:rsidRPr="00D52879" w:rsidRDefault="009545C3" w:rsidP="00F528C6">
            <w:pPr>
              <w:jc w:val="both"/>
              <w:rPr>
                <w:rFonts w:ascii="GHEA Grapalat" w:hAnsi="GHEA Grapalat"/>
                <w:sz w:val="24"/>
                <w:szCs w:val="24"/>
              </w:rPr>
            </w:pPr>
            <w:r w:rsidRPr="00D52879">
              <w:rPr>
                <w:rFonts w:ascii="GHEA Grapalat" w:hAnsi="GHEA Grapalat"/>
                <w:sz w:val="24"/>
                <w:szCs w:val="24"/>
              </w:rPr>
              <w:t>2,366</w:t>
            </w:r>
          </w:p>
        </w:tc>
      </w:tr>
      <w:tr w:rsidR="009545C3" w:rsidRPr="005D6796" w14:paraId="3B6FA032" w14:textId="77777777" w:rsidTr="00F528C6">
        <w:trPr>
          <w:trHeight w:val="393"/>
        </w:trPr>
        <w:tc>
          <w:tcPr>
            <w:tcW w:w="6571" w:type="dxa"/>
            <w:tcBorders>
              <w:top w:val="single" w:sz="4" w:space="0" w:color="auto"/>
            </w:tcBorders>
            <w:hideMark/>
          </w:tcPr>
          <w:p w14:paraId="7354D0BD" w14:textId="77777777" w:rsidR="009545C3" w:rsidRPr="00D52879" w:rsidRDefault="009545C3" w:rsidP="00F528C6">
            <w:pPr>
              <w:rPr>
                <w:rFonts w:ascii="GHEA Grapalat" w:hAnsi="GHEA Grapalat" w:cs="Calibri"/>
                <w:sz w:val="24"/>
                <w:szCs w:val="24"/>
                <w:lang w:val="en-GB"/>
              </w:rPr>
            </w:pPr>
            <w:r w:rsidRPr="00D52879">
              <w:rPr>
                <w:rFonts w:ascii="GHEA Grapalat" w:hAnsi="GHEA Grapalat" w:cs="Sylfaen"/>
              </w:rPr>
              <w:t>Total a</w:t>
            </w:r>
            <w:r w:rsidRPr="00D52879">
              <w:rPr>
                <w:rFonts w:ascii="GHEA Grapalat" w:hAnsi="GHEA Grapalat" w:cs="Calibri"/>
                <w:sz w:val="24"/>
                <w:szCs w:val="24"/>
                <w:lang w:val="en-GB"/>
              </w:rPr>
              <w:t xml:space="preserve">mount of transactions (AMD billion) </w:t>
            </w:r>
          </w:p>
          <w:p w14:paraId="17D8CCD6" w14:textId="77777777" w:rsidR="009545C3" w:rsidRPr="006C7D98" w:rsidRDefault="009545C3" w:rsidP="00F528C6">
            <w:pPr>
              <w:rPr>
                <w:rFonts w:ascii="GHEA Grapalat" w:hAnsi="GHEA Grapalat"/>
                <w:b/>
                <w:sz w:val="24"/>
                <w:szCs w:val="24"/>
                <w:lang w:val="en-GB"/>
              </w:rPr>
            </w:pPr>
            <w:r w:rsidRPr="006C7D98">
              <w:rPr>
                <w:rFonts w:ascii="GHEA Grapalat" w:hAnsi="GHEA Grapalat" w:cs="Calibri"/>
                <w:sz w:val="24"/>
                <w:szCs w:val="24"/>
                <w:lang w:val="en-GB"/>
              </w:rPr>
              <w:t>of which</w:t>
            </w:r>
            <w:r>
              <w:rPr>
                <w:rFonts w:ascii="GHEA Grapalat" w:hAnsi="GHEA Grapalat" w:cs="Calibri"/>
                <w:sz w:val="24"/>
                <w:szCs w:val="24"/>
                <w:lang w:val="en-GB"/>
              </w:rPr>
              <w:t>:</w:t>
            </w:r>
          </w:p>
        </w:tc>
        <w:tc>
          <w:tcPr>
            <w:tcW w:w="1504" w:type="dxa"/>
            <w:tcBorders>
              <w:top w:val="single" w:sz="4" w:space="0" w:color="auto"/>
            </w:tcBorders>
            <w:hideMark/>
          </w:tcPr>
          <w:p w14:paraId="7336F00D" w14:textId="77777777" w:rsidR="009545C3" w:rsidRPr="00D52879" w:rsidRDefault="009545C3" w:rsidP="00F528C6">
            <w:pPr>
              <w:jc w:val="both"/>
              <w:rPr>
                <w:rFonts w:ascii="GHEA Grapalat" w:hAnsi="GHEA Grapalat"/>
                <w:sz w:val="24"/>
                <w:szCs w:val="24"/>
              </w:rPr>
            </w:pPr>
            <w:r w:rsidRPr="00D52879">
              <w:rPr>
                <w:rFonts w:ascii="GHEA Grapalat" w:hAnsi="GHEA Grapalat"/>
                <w:sz w:val="24"/>
                <w:szCs w:val="24"/>
              </w:rPr>
              <w:t>183.3</w:t>
            </w:r>
          </w:p>
        </w:tc>
        <w:tc>
          <w:tcPr>
            <w:tcW w:w="1285" w:type="dxa"/>
            <w:tcBorders>
              <w:top w:val="single" w:sz="4" w:space="0" w:color="auto"/>
            </w:tcBorders>
          </w:tcPr>
          <w:p w14:paraId="1DA41969" w14:textId="77777777" w:rsidR="009545C3" w:rsidRPr="00D52879" w:rsidRDefault="009545C3" w:rsidP="00F528C6">
            <w:pPr>
              <w:jc w:val="both"/>
              <w:rPr>
                <w:rFonts w:ascii="GHEA Grapalat" w:hAnsi="GHEA Grapalat"/>
                <w:sz w:val="24"/>
                <w:szCs w:val="24"/>
              </w:rPr>
            </w:pPr>
            <w:r w:rsidRPr="00D52879">
              <w:rPr>
                <w:rFonts w:ascii="GHEA Grapalat" w:hAnsi="GHEA Grapalat"/>
                <w:sz w:val="24"/>
                <w:szCs w:val="24"/>
              </w:rPr>
              <w:t>333.6</w:t>
            </w:r>
          </w:p>
        </w:tc>
      </w:tr>
      <w:tr w:rsidR="009545C3" w:rsidRPr="005D6796" w14:paraId="5751254C" w14:textId="77777777" w:rsidTr="00F528C6">
        <w:trPr>
          <w:trHeight w:val="329"/>
        </w:trPr>
        <w:tc>
          <w:tcPr>
            <w:tcW w:w="6571" w:type="dxa"/>
            <w:hideMark/>
          </w:tcPr>
          <w:p w14:paraId="446169D7" w14:textId="77777777" w:rsidR="009545C3" w:rsidRPr="006C7D98" w:rsidRDefault="009545C3" w:rsidP="00F528C6">
            <w:pPr>
              <w:ind w:right="553"/>
              <w:jc w:val="right"/>
              <w:rPr>
                <w:rFonts w:ascii="GHEA Grapalat" w:hAnsi="GHEA Grapalat" w:cs="Calibri"/>
                <w:i/>
                <w:sz w:val="24"/>
                <w:szCs w:val="24"/>
                <w:lang w:val="en-GB"/>
              </w:rPr>
            </w:pPr>
            <w:r w:rsidRPr="006C7D98">
              <w:rPr>
                <w:rFonts w:ascii="GHEA Grapalat" w:hAnsi="GHEA Grapalat" w:cs="Calibri"/>
                <w:i/>
                <w:sz w:val="24"/>
                <w:szCs w:val="24"/>
                <w:lang w:val="en-GB"/>
              </w:rPr>
              <w:t>Interbank market</w:t>
            </w:r>
          </w:p>
        </w:tc>
        <w:tc>
          <w:tcPr>
            <w:tcW w:w="1504" w:type="dxa"/>
            <w:hideMark/>
          </w:tcPr>
          <w:p w14:paraId="6826487A"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168.6</w:t>
            </w:r>
          </w:p>
        </w:tc>
        <w:tc>
          <w:tcPr>
            <w:tcW w:w="1285" w:type="dxa"/>
          </w:tcPr>
          <w:p w14:paraId="1FB75553"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272.3</w:t>
            </w:r>
          </w:p>
        </w:tc>
      </w:tr>
      <w:tr w:rsidR="009545C3" w:rsidRPr="005D6796" w14:paraId="48E4AA05" w14:textId="77777777" w:rsidTr="00F528C6">
        <w:trPr>
          <w:trHeight w:val="339"/>
        </w:trPr>
        <w:tc>
          <w:tcPr>
            <w:tcW w:w="6571" w:type="dxa"/>
            <w:tcBorders>
              <w:bottom w:val="nil"/>
            </w:tcBorders>
            <w:hideMark/>
          </w:tcPr>
          <w:p w14:paraId="5F10ADC6" w14:textId="77777777" w:rsidR="009545C3" w:rsidRPr="006C7D98" w:rsidRDefault="009545C3" w:rsidP="00F528C6">
            <w:pPr>
              <w:ind w:right="553"/>
              <w:jc w:val="right"/>
              <w:rPr>
                <w:rFonts w:ascii="GHEA Grapalat" w:hAnsi="GHEA Grapalat" w:cs="Calibri"/>
                <w:i/>
                <w:sz w:val="24"/>
                <w:szCs w:val="24"/>
                <w:lang w:val="en-GB"/>
              </w:rPr>
            </w:pPr>
            <w:r w:rsidRPr="006C7D98">
              <w:rPr>
                <w:rFonts w:ascii="GHEA Grapalat" w:hAnsi="GHEA Grapalat" w:cs="Calibri"/>
                <w:i/>
                <w:sz w:val="24"/>
                <w:szCs w:val="24"/>
                <w:lang w:val="en-GB"/>
              </w:rPr>
              <w:t>NASDAQ-OMX Armenia</w:t>
            </w:r>
          </w:p>
        </w:tc>
        <w:tc>
          <w:tcPr>
            <w:tcW w:w="1504" w:type="dxa"/>
            <w:tcBorders>
              <w:bottom w:val="nil"/>
            </w:tcBorders>
            <w:hideMark/>
          </w:tcPr>
          <w:p w14:paraId="1DE7649E"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13.7</w:t>
            </w:r>
          </w:p>
        </w:tc>
        <w:tc>
          <w:tcPr>
            <w:tcW w:w="1285" w:type="dxa"/>
            <w:tcBorders>
              <w:bottom w:val="nil"/>
            </w:tcBorders>
          </w:tcPr>
          <w:p w14:paraId="510BB326"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54.3</w:t>
            </w:r>
          </w:p>
        </w:tc>
      </w:tr>
      <w:tr w:rsidR="009545C3" w:rsidRPr="005D6796" w14:paraId="4D16E588" w14:textId="77777777" w:rsidTr="00F528C6">
        <w:trPr>
          <w:trHeight w:val="329"/>
        </w:trPr>
        <w:tc>
          <w:tcPr>
            <w:tcW w:w="6571" w:type="dxa"/>
            <w:tcBorders>
              <w:top w:val="nil"/>
              <w:bottom w:val="single" w:sz="4" w:space="0" w:color="auto"/>
            </w:tcBorders>
            <w:hideMark/>
          </w:tcPr>
          <w:p w14:paraId="075B6D44" w14:textId="77777777" w:rsidR="009545C3" w:rsidRPr="006C7D98" w:rsidRDefault="009545C3" w:rsidP="00F528C6">
            <w:pPr>
              <w:ind w:right="553"/>
              <w:jc w:val="right"/>
              <w:rPr>
                <w:rFonts w:ascii="GHEA Grapalat" w:hAnsi="GHEA Grapalat" w:cs="Calibri"/>
                <w:i/>
                <w:sz w:val="24"/>
                <w:szCs w:val="24"/>
                <w:lang w:val="en-GB"/>
              </w:rPr>
            </w:pPr>
            <w:r w:rsidRPr="006C7D98">
              <w:rPr>
                <w:rFonts w:ascii="GHEA Grapalat" w:hAnsi="GHEA Grapalat" w:cs="Calibri"/>
                <w:i/>
                <w:sz w:val="24"/>
                <w:szCs w:val="24"/>
                <w:lang w:val="en-GB"/>
              </w:rPr>
              <w:t>CBA transactions</w:t>
            </w:r>
          </w:p>
        </w:tc>
        <w:tc>
          <w:tcPr>
            <w:tcW w:w="1504" w:type="dxa"/>
            <w:tcBorders>
              <w:top w:val="nil"/>
              <w:bottom w:val="single" w:sz="4" w:space="0" w:color="auto"/>
            </w:tcBorders>
            <w:hideMark/>
          </w:tcPr>
          <w:p w14:paraId="597B8F4F"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1.0</w:t>
            </w:r>
          </w:p>
        </w:tc>
        <w:tc>
          <w:tcPr>
            <w:tcW w:w="1285" w:type="dxa"/>
            <w:tcBorders>
              <w:top w:val="nil"/>
              <w:bottom w:val="single" w:sz="4" w:space="0" w:color="auto"/>
            </w:tcBorders>
          </w:tcPr>
          <w:p w14:paraId="7435C015"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7.0</w:t>
            </w:r>
          </w:p>
        </w:tc>
      </w:tr>
      <w:tr w:rsidR="009545C3" w:rsidRPr="005D6796" w14:paraId="4C67AE52" w14:textId="77777777" w:rsidTr="00F528C6">
        <w:trPr>
          <w:trHeight w:val="475"/>
        </w:trPr>
        <w:tc>
          <w:tcPr>
            <w:tcW w:w="6571" w:type="dxa"/>
            <w:tcBorders>
              <w:top w:val="single" w:sz="4" w:space="0" w:color="auto"/>
            </w:tcBorders>
            <w:hideMark/>
          </w:tcPr>
          <w:p w14:paraId="02706EA6" w14:textId="77777777" w:rsidR="009545C3" w:rsidRPr="006C7D98" w:rsidRDefault="009545C3" w:rsidP="00F528C6">
            <w:pPr>
              <w:rPr>
                <w:rFonts w:ascii="GHEA Grapalat" w:hAnsi="GHEA Grapalat"/>
                <w:b/>
                <w:sz w:val="24"/>
                <w:szCs w:val="24"/>
                <w:lang w:val="en-GB"/>
              </w:rPr>
            </w:pPr>
            <w:r w:rsidRPr="006C7D98">
              <w:rPr>
                <w:rFonts w:ascii="GHEA Grapalat" w:hAnsi="GHEA Grapalat"/>
                <w:b/>
                <w:sz w:val="24"/>
                <w:szCs w:val="24"/>
                <w:lang w:val="en-GB"/>
              </w:rPr>
              <w:t>Secondary market indicators</w:t>
            </w:r>
            <w:r>
              <w:rPr>
                <w:rFonts w:ascii="GHEA Grapalat" w:hAnsi="GHEA Grapalat"/>
                <w:b/>
                <w:sz w:val="24"/>
                <w:szCs w:val="24"/>
                <w:lang w:val="en-GB"/>
              </w:rPr>
              <w:t>:</w:t>
            </w:r>
          </w:p>
        </w:tc>
        <w:tc>
          <w:tcPr>
            <w:tcW w:w="1504" w:type="dxa"/>
            <w:tcBorders>
              <w:top w:val="single" w:sz="4" w:space="0" w:color="auto"/>
            </w:tcBorders>
          </w:tcPr>
          <w:p w14:paraId="2E517A6C" w14:textId="77777777" w:rsidR="009545C3" w:rsidRPr="00D93A11" w:rsidRDefault="009545C3" w:rsidP="00F528C6">
            <w:pPr>
              <w:jc w:val="both"/>
              <w:rPr>
                <w:rFonts w:ascii="GHEA Grapalat" w:hAnsi="GHEA Grapalat"/>
                <w:sz w:val="24"/>
                <w:szCs w:val="24"/>
              </w:rPr>
            </w:pPr>
          </w:p>
        </w:tc>
        <w:tc>
          <w:tcPr>
            <w:tcW w:w="1285" w:type="dxa"/>
            <w:tcBorders>
              <w:top w:val="single" w:sz="4" w:space="0" w:color="auto"/>
            </w:tcBorders>
          </w:tcPr>
          <w:p w14:paraId="06D249D9" w14:textId="77777777" w:rsidR="009545C3" w:rsidRPr="00D93A11" w:rsidRDefault="009545C3" w:rsidP="00F528C6">
            <w:pPr>
              <w:jc w:val="both"/>
              <w:rPr>
                <w:rFonts w:ascii="GHEA Grapalat" w:hAnsi="GHEA Grapalat"/>
                <w:sz w:val="24"/>
                <w:szCs w:val="24"/>
              </w:rPr>
            </w:pPr>
          </w:p>
        </w:tc>
      </w:tr>
      <w:tr w:rsidR="009545C3" w:rsidRPr="005D6796" w14:paraId="49E86365" w14:textId="77777777" w:rsidTr="00F528C6">
        <w:trPr>
          <w:trHeight w:val="329"/>
        </w:trPr>
        <w:tc>
          <w:tcPr>
            <w:tcW w:w="6571" w:type="dxa"/>
            <w:hideMark/>
          </w:tcPr>
          <w:p w14:paraId="40976B3D" w14:textId="77777777" w:rsidR="009545C3" w:rsidRPr="006C7D98" w:rsidRDefault="009545C3" w:rsidP="00F528C6">
            <w:pPr>
              <w:rPr>
                <w:rFonts w:ascii="GHEA Grapalat" w:hAnsi="GHEA Grapalat"/>
                <w:sz w:val="24"/>
                <w:szCs w:val="24"/>
                <w:lang w:val="hy-AM"/>
              </w:rPr>
            </w:pPr>
            <w:r w:rsidRPr="006C7D98">
              <w:rPr>
                <w:rFonts w:ascii="GHEA Grapalat" w:hAnsi="GHEA Grapalat" w:cs="Calibri"/>
                <w:sz w:val="24"/>
                <w:szCs w:val="24"/>
                <w:lang w:val="en-GB"/>
              </w:rPr>
              <w:t>Weighted average time to maturity (days)</w:t>
            </w:r>
          </w:p>
        </w:tc>
        <w:tc>
          <w:tcPr>
            <w:tcW w:w="1504" w:type="dxa"/>
            <w:hideMark/>
          </w:tcPr>
          <w:p w14:paraId="0BF9C8C6"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2873</w:t>
            </w:r>
          </w:p>
        </w:tc>
        <w:tc>
          <w:tcPr>
            <w:tcW w:w="1285" w:type="dxa"/>
          </w:tcPr>
          <w:p w14:paraId="0897FD98"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3609</w:t>
            </w:r>
          </w:p>
        </w:tc>
      </w:tr>
      <w:tr w:rsidR="009545C3" w:rsidRPr="005D6796" w14:paraId="5BE9D369" w14:textId="77777777" w:rsidTr="00F528C6">
        <w:trPr>
          <w:trHeight w:val="329"/>
        </w:trPr>
        <w:tc>
          <w:tcPr>
            <w:tcW w:w="6571" w:type="dxa"/>
            <w:hideMark/>
          </w:tcPr>
          <w:p w14:paraId="7339F5DA" w14:textId="77777777" w:rsidR="009545C3" w:rsidRPr="006C7D98" w:rsidRDefault="009545C3" w:rsidP="00F528C6">
            <w:pPr>
              <w:rPr>
                <w:rFonts w:ascii="GHEA Grapalat" w:hAnsi="GHEA Grapalat"/>
                <w:sz w:val="24"/>
                <w:szCs w:val="24"/>
                <w:lang w:val="hy-AM"/>
              </w:rPr>
            </w:pPr>
            <w:r w:rsidRPr="006C7D98">
              <w:rPr>
                <w:rFonts w:ascii="GHEA Grapalat" w:hAnsi="GHEA Grapalat" w:cs="Calibri"/>
                <w:sz w:val="24"/>
                <w:szCs w:val="24"/>
                <w:lang w:val="en-GB"/>
              </w:rPr>
              <w:t>Weighted daily average amount</w:t>
            </w:r>
            <w:r w:rsidRPr="006C7D98">
              <w:rPr>
                <w:rFonts w:ascii="GHEA Grapalat" w:hAnsi="GHEA Grapalat"/>
                <w:sz w:val="24"/>
                <w:szCs w:val="24"/>
                <w:lang w:val="hy-AM"/>
              </w:rPr>
              <w:t xml:space="preserve"> (</w:t>
            </w:r>
            <w:r w:rsidRPr="006C7D98">
              <w:rPr>
                <w:rFonts w:ascii="GHEA Grapalat" w:hAnsi="GHEA Grapalat"/>
                <w:sz w:val="24"/>
                <w:szCs w:val="24"/>
                <w:lang w:val="en-GB"/>
              </w:rPr>
              <w:t>AMD million</w:t>
            </w:r>
            <w:r w:rsidRPr="006C7D98">
              <w:rPr>
                <w:rFonts w:ascii="GHEA Grapalat" w:hAnsi="GHEA Grapalat"/>
                <w:sz w:val="24"/>
                <w:szCs w:val="24"/>
                <w:lang w:val="hy-AM"/>
              </w:rPr>
              <w:t>)</w:t>
            </w:r>
          </w:p>
        </w:tc>
        <w:tc>
          <w:tcPr>
            <w:tcW w:w="1504" w:type="dxa"/>
            <w:hideMark/>
          </w:tcPr>
          <w:p w14:paraId="11999612"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776.7</w:t>
            </w:r>
          </w:p>
        </w:tc>
        <w:tc>
          <w:tcPr>
            <w:tcW w:w="1285" w:type="dxa"/>
          </w:tcPr>
          <w:p w14:paraId="4C1EFD57"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1,329.2</w:t>
            </w:r>
          </w:p>
        </w:tc>
      </w:tr>
      <w:tr w:rsidR="009545C3" w:rsidRPr="005D6796" w14:paraId="1B24532A" w14:textId="77777777" w:rsidTr="00F528C6">
        <w:trPr>
          <w:trHeight w:val="70"/>
        </w:trPr>
        <w:tc>
          <w:tcPr>
            <w:tcW w:w="6571" w:type="dxa"/>
            <w:hideMark/>
          </w:tcPr>
          <w:p w14:paraId="3460570F" w14:textId="77777777" w:rsidR="009545C3" w:rsidRPr="006C7D98" w:rsidRDefault="009545C3" w:rsidP="00F528C6">
            <w:pPr>
              <w:rPr>
                <w:rFonts w:ascii="GHEA Grapalat" w:hAnsi="GHEA Grapalat"/>
                <w:sz w:val="24"/>
                <w:szCs w:val="24"/>
                <w:lang w:val="hy-AM"/>
              </w:rPr>
            </w:pPr>
            <w:r w:rsidRPr="006C7D98">
              <w:rPr>
                <w:rFonts w:ascii="GHEA Grapalat" w:hAnsi="GHEA Grapalat" w:cs="Calibri"/>
                <w:sz w:val="24"/>
                <w:szCs w:val="24"/>
                <w:lang w:val="en-GB"/>
              </w:rPr>
              <w:t>Daily average number of transactions</w:t>
            </w:r>
          </w:p>
        </w:tc>
        <w:tc>
          <w:tcPr>
            <w:tcW w:w="1504" w:type="dxa"/>
            <w:hideMark/>
          </w:tcPr>
          <w:p w14:paraId="6EF8B436"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6</w:t>
            </w:r>
          </w:p>
        </w:tc>
        <w:tc>
          <w:tcPr>
            <w:tcW w:w="1285" w:type="dxa"/>
          </w:tcPr>
          <w:p w14:paraId="56266CAF" w14:textId="77777777" w:rsidR="009545C3" w:rsidRPr="00D93A11" w:rsidRDefault="009545C3" w:rsidP="00F528C6">
            <w:pPr>
              <w:jc w:val="both"/>
              <w:rPr>
                <w:rFonts w:ascii="GHEA Grapalat" w:hAnsi="GHEA Grapalat"/>
                <w:sz w:val="24"/>
                <w:szCs w:val="24"/>
              </w:rPr>
            </w:pPr>
            <w:r w:rsidRPr="00D93A11">
              <w:rPr>
                <w:rFonts w:ascii="GHEA Grapalat" w:hAnsi="GHEA Grapalat"/>
                <w:sz w:val="24"/>
                <w:szCs w:val="24"/>
              </w:rPr>
              <w:t>9</w:t>
            </w:r>
          </w:p>
        </w:tc>
      </w:tr>
      <w:tr w:rsidR="009545C3" w:rsidRPr="005D6796" w14:paraId="4296DAB0" w14:textId="77777777" w:rsidTr="00F528C6">
        <w:trPr>
          <w:trHeight w:val="70"/>
        </w:trPr>
        <w:tc>
          <w:tcPr>
            <w:tcW w:w="6571" w:type="dxa"/>
          </w:tcPr>
          <w:p w14:paraId="5B9720B6" w14:textId="77777777" w:rsidR="009545C3" w:rsidRPr="006C7D98" w:rsidRDefault="009545C3" w:rsidP="00F528C6">
            <w:pPr>
              <w:rPr>
                <w:rFonts w:ascii="GHEA Grapalat" w:hAnsi="GHEA Grapalat" w:cs="Calibri"/>
                <w:sz w:val="24"/>
                <w:szCs w:val="24"/>
                <w:lang w:val="en-GB"/>
              </w:rPr>
            </w:pPr>
            <w:r>
              <w:rPr>
                <w:rFonts w:ascii="GHEA Grapalat" w:hAnsi="GHEA Grapalat" w:cs="Calibri"/>
                <w:sz w:val="24"/>
                <w:szCs w:val="24"/>
                <w:lang w:val="en-GB"/>
              </w:rPr>
              <w:t>Daily turnover ratio</w:t>
            </w:r>
            <w:r>
              <w:rPr>
                <w:rFonts w:ascii="GHEA Grapalat" w:hAnsi="GHEA Grapalat" w:cs="Calibri"/>
                <w:sz w:val="24"/>
                <w:szCs w:val="24"/>
                <w:vertAlign w:val="superscript"/>
                <w:lang w:val="en-GB"/>
              </w:rPr>
              <w:t>#</w:t>
            </w:r>
            <w:r>
              <w:rPr>
                <w:rFonts w:ascii="GHEA Grapalat" w:hAnsi="GHEA Grapalat" w:cs="Calibri"/>
                <w:sz w:val="24"/>
                <w:szCs w:val="24"/>
                <w:lang w:val="en-GB"/>
              </w:rPr>
              <w:t xml:space="preserve"> (%)</w:t>
            </w:r>
          </w:p>
        </w:tc>
        <w:tc>
          <w:tcPr>
            <w:tcW w:w="1504" w:type="dxa"/>
          </w:tcPr>
          <w:p w14:paraId="4FCED7A2" w14:textId="77777777" w:rsidR="009545C3" w:rsidRPr="00D93A11" w:rsidRDefault="009545C3" w:rsidP="00F528C6">
            <w:pPr>
              <w:jc w:val="both"/>
              <w:rPr>
                <w:rFonts w:ascii="GHEA Grapalat" w:hAnsi="GHEA Grapalat"/>
                <w:sz w:val="24"/>
                <w:szCs w:val="24"/>
              </w:rPr>
            </w:pPr>
            <w:r>
              <w:rPr>
                <w:rFonts w:ascii="GHEA Grapalat" w:hAnsi="GHEA Grapalat"/>
                <w:sz w:val="24"/>
                <w:szCs w:val="24"/>
              </w:rPr>
              <w:t>0.06</w:t>
            </w:r>
          </w:p>
        </w:tc>
        <w:tc>
          <w:tcPr>
            <w:tcW w:w="1285" w:type="dxa"/>
          </w:tcPr>
          <w:p w14:paraId="4D3342CF" w14:textId="77777777" w:rsidR="009545C3" w:rsidRPr="00D93A11" w:rsidRDefault="009545C3" w:rsidP="00F528C6">
            <w:pPr>
              <w:jc w:val="both"/>
              <w:rPr>
                <w:rFonts w:ascii="GHEA Grapalat" w:hAnsi="GHEA Grapalat"/>
                <w:sz w:val="24"/>
                <w:szCs w:val="24"/>
              </w:rPr>
            </w:pPr>
            <w:r>
              <w:rPr>
                <w:rFonts w:ascii="GHEA Grapalat" w:hAnsi="GHEA Grapalat"/>
                <w:sz w:val="24"/>
                <w:szCs w:val="24"/>
              </w:rPr>
              <w:t>0.08</w:t>
            </w:r>
          </w:p>
        </w:tc>
      </w:tr>
    </w:tbl>
    <w:p w14:paraId="30506376" w14:textId="77777777" w:rsidR="009545C3" w:rsidRDefault="009545C3" w:rsidP="009545C3">
      <w:pPr>
        <w:jc w:val="both"/>
        <w:rPr>
          <w:sz w:val="18"/>
          <w:szCs w:val="18"/>
          <w:lang w:val="en-GB"/>
        </w:rPr>
      </w:pPr>
      <w:r>
        <w:rPr>
          <w:rFonts w:cs="Arial"/>
        </w:rPr>
        <w:t xml:space="preserve">#: </w:t>
      </w:r>
      <w:r w:rsidRPr="003C08DA">
        <w:rPr>
          <w:sz w:val="18"/>
          <w:szCs w:val="18"/>
        </w:rPr>
        <w:t xml:space="preserve">The turnover </w:t>
      </w:r>
      <w:r w:rsidRPr="003C08DA">
        <w:rPr>
          <w:sz w:val="18"/>
          <w:szCs w:val="18"/>
          <w:lang w:val="en-GB"/>
        </w:rPr>
        <w:t xml:space="preserve">ratio </w:t>
      </w:r>
      <w:proofErr w:type="gramStart"/>
      <w:r w:rsidRPr="003C08DA">
        <w:rPr>
          <w:sz w:val="18"/>
          <w:szCs w:val="18"/>
          <w:lang w:val="en-GB"/>
        </w:rPr>
        <w:t>is computed</w:t>
      </w:r>
      <w:proofErr w:type="gramEnd"/>
      <w:r w:rsidRPr="003C08DA">
        <w:rPr>
          <w:sz w:val="18"/>
          <w:szCs w:val="18"/>
          <w:lang w:val="en-GB"/>
        </w:rPr>
        <w:t xml:space="preserve"> as an average of beginning and closing year stock of government securities.</w:t>
      </w:r>
    </w:p>
    <w:p w14:paraId="17047153" w14:textId="77777777" w:rsidR="009545C3" w:rsidRDefault="009545C3" w:rsidP="009545C3">
      <w:pPr>
        <w:jc w:val="both"/>
        <w:rPr>
          <w:rFonts w:cs="Arial"/>
          <w:sz w:val="18"/>
          <w:szCs w:val="18"/>
        </w:rPr>
      </w:pPr>
      <w:r w:rsidRPr="002643D2">
        <w:rPr>
          <w:rFonts w:cs="Arial"/>
          <w:sz w:val="18"/>
          <w:szCs w:val="18"/>
        </w:rPr>
        <w:t>Source: Annual Report, PDMD, 2016</w:t>
      </w:r>
    </w:p>
    <w:p w14:paraId="207C2D42" w14:textId="77777777" w:rsidR="009545C3" w:rsidRDefault="009545C3" w:rsidP="009545C3">
      <w:pPr>
        <w:jc w:val="both"/>
        <w:rPr>
          <w:rFonts w:cs="Arial"/>
          <w:sz w:val="18"/>
          <w:szCs w:val="18"/>
        </w:rPr>
      </w:pPr>
    </w:p>
    <w:p w14:paraId="56E107FB" w14:textId="77777777" w:rsidR="009545C3" w:rsidRDefault="009545C3" w:rsidP="009545C3">
      <w:pPr>
        <w:pStyle w:val="ListParagraph"/>
        <w:numPr>
          <w:ilvl w:val="0"/>
          <w:numId w:val="3"/>
        </w:numPr>
        <w:jc w:val="both"/>
        <w:rPr>
          <w:rFonts w:cs="Arial"/>
        </w:rPr>
      </w:pPr>
      <w:r>
        <w:rPr>
          <w:rFonts w:cs="Arial"/>
        </w:rPr>
        <w:t xml:space="preserve">Daily turnover ratio in 2016 remained insignificant at 0.06 of the total stock. The average daily amount of a transaction in 2016 amounted to AMD 147.7 million reflecting low trading volume compared to </w:t>
      </w:r>
      <w:proofErr w:type="gramStart"/>
      <w:r>
        <w:rPr>
          <w:rFonts w:cs="Arial"/>
        </w:rPr>
        <w:t>peer</w:t>
      </w:r>
      <w:proofErr w:type="gramEnd"/>
      <w:r>
        <w:rPr>
          <w:rFonts w:cs="Arial"/>
        </w:rPr>
        <w:t xml:space="preserve"> countries. The increased trading activity spread to medium-term and longer-term bonds, albeit in limited amount. </w:t>
      </w:r>
      <w:r w:rsidRPr="000203BC">
        <w:rPr>
          <w:rFonts w:cs="Arial"/>
        </w:rPr>
        <w:t xml:space="preserve">The low turnover </w:t>
      </w:r>
      <w:r>
        <w:rPr>
          <w:rFonts w:cs="Arial"/>
        </w:rPr>
        <w:t xml:space="preserve">ratio </w:t>
      </w:r>
      <w:r w:rsidRPr="000203BC">
        <w:rPr>
          <w:rFonts w:cs="Arial"/>
        </w:rPr>
        <w:t>in trading reflects the “buy and hold” strategy of investors, especially for the insurance companies and pension funds on longer-term bonds</w:t>
      </w:r>
      <w:r>
        <w:rPr>
          <w:rFonts w:cs="Arial"/>
        </w:rPr>
        <w:t>.</w:t>
      </w:r>
    </w:p>
    <w:p w14:paraId="11FBFB35" w14:textId="6D89312B" w:rsidR="009545C3" w:rsidRDefault="009545C3" w:rsidP="009545C3">
      <w:pPr>
        <w:jc w:val="both"/>
        <w:rPr>
          <w:rFonts w:cs="Arial"/>
          <w:sz w:val="18"/>
          <w:szCs w:val="18"/>
        </w:rPr>
      </w:pPr>
    </w:p>
    <w:p w14:paraId="4FC7F42A" w14:textId="77777777" w:rsidR="00A50926" w:rsidRPr="000203BC" w:rsidRDefault="00A50926" w:rsidP="00A50926">
      <w:pPr>
        <w:pStyle w:val="ListParagraph"/>
        <w:numPr>
          <w:ilvl w:val="0"/>
          <w:numId w:val="3"/>
        </w:numPr>
        <w:jc w:val="both"/>
        <w:rPr>
          <w:rFonts w:cs="Arial"/>
        </w:rPr>
      </w:pPr>
      <w:r w:rsidRPr="000203BC">
        <w:rPr>
          <w:rFonts w:cs="Arial"/>
        </w:rPr>
        <w:t xml:space="preserve">Within the annual volume of AMD 65.1 </w:t>
      </w:r>
      <w:proofErr w:type="gramStart"/>
      <w:r w:rsidRPr="000203BC">
        <w:rPr>
          <w:rFonts w:cs="Arial"/>
        </w:rPr>
        <w:t>billion</w:t>
      </w:r>
      <w:proofErr w:type="gramEnd"/>
      <w:r w:rsidRPr="000203BC">
        <w:rPr>
          <w:rFonts w:cs="Arial"/>
        </w:rPr>
        <w:t xml:space="preserve"> trading in NASDAQ-OMX stock exchange in 2017, benchmark bonds contributed to 65.1 per cent of total trade</w:t>
      </w:r>
      <w:r>
        <w:rPr>
          <w:rFonts w:cs="Arial"/>
        </w:rPr>
        <w:t xml:space="preserve"> (Figure 7)</w:t>
      </w:r>
      <w:r w:rsidRPr="000203BC">
        <w:rPr>
          <w:rFonts w:cs="Arial"/>
        </w:rPr>
        <w:t>. However, trading was concentrated for the 10-year benchmark bond (</w:t>
      </w:r>
      <w:r w:rsidRPr="000203BC">
        <w:rPr>
          <w:rFonts w:eastAsia="Times New Roman" w:cs="Arial"/>
          <w:bCs/>
          <w:lang w:eastAsia="en-GB"/>
        </w:rPr>
        <w:t xml:space="preserve">AMGB1029A250) </w:t>
      </w:r>
      <w:r w:rsidRPr="000203BC">
        <w:rPr>
          <w:rFonts w:cs="Arial"/>
        </w:rPr>
        <w:t>accounting for 17.9 percent of the total trade, closely followed by the 20.5-year benchmark bond (</w:t>
      </w:r>
      <w:r w:rsidRPr="000203BC">
        <w:rPr>
          <w:rFonts w:eastAsia="Times New Roman" w:cs="Arial"/>
          <w:bCs/>
          <w:lang w:eastAsia="en-GB"/>
        </w:rPr>
        <w:t xml:space="preserve">AMGB2029A366) </w:t>
      </w:r>
      <w:r w:rsidRPr="000203BC">
        <w:rPr>
          <w:rFonts w:cs="Arial"/>
        </w:rPr>
        <w:t>at 16.9 percent and the 3-year benchmark bond (</w:t>
      </w:r>
      <w:r w:rsidRPr="000203BC">
        <w:rPr>
          <w:rFonts w:eastAsia="Times New Roman" w:cs="Arial"/>
          <w:bCs/>
          <w:lang w:eastAsia="en-GB"/>
        </w:rPr>
        <w:t>AMGN36294194</w:t>
      </w:r>
      <w:r w:rsidRPr="000203BC">
        <w:rPr>
          <w:rFonts w:eastAsia="Times New Roman" w:cs="Arial"/>
          <w:lang w:eastAsia="en-GB"/>
        </w:rPr>
        <w:t xml:space="preserve">) </w:t>
      </w:r>
      <w:r w:rsidRPr="000203BC">
        <w:rPr>
          <w:rFonts w:cs="Arial"/>
        </w:rPr>
        <w:t xml:space="preserve">at 14.7 percent. The higher </w:t>
      </w:r>
      <w:r>
        <w:rPr>
          <w:rFonts w:cs="Arial"/>
        </w:rPr>
        <w:t xml:space="preserve">share of </w:t>
      </w:r>
      <w:r w:rsidRPr="000203BC">
        <w:rPr>
          <w:rFonts w:cs="Arial"/>
        </w:rPr>
        <w:t xml:space="preserve">trading </w:t>
      </w:r>
      <w:r>
        <w:rPr>
          <w:rFonts w:cs="Arial"/>
        </w:rPr>
        <w:t xml:space="preserve">in these benchmark bonds </w:t>
      </w:r>
      <w:r w:rsidRPr="000203BC">
        <w:rPr>
          <w:rFonts w:cs="Arial"/>
        </w:rPr>
        <w:t>reflect</w:t>
      </w:r>
      <w:r>
        <w:rPr>
          <w:rFonts w:cs="Arial"/>
        </w:rPr>
        <w:t>s</w:t>
      </w:r>
      <w:r w:rsidRPr="000203BC">
        <w:rPr>
          <w:rFonts w:cs="Arial"/>
        </w:rPr>
        <w:t xml:space="preserve"> the higher stock </w:t>
      </w:r>
      <w:r>
        <w:rPr>
          <w:rFonts w:cs="Arial"/>
        </w:rPr>
        <w:t>of these bonds. N</w:t>
      </w:r>
      <w:r w:rsidRPr="000203BC">
        <w:rPr>
          <w:rFonts w:cs="Arial"/>
        </w:rPr>
        <w:t>on-benchmark bond accounted for 3</w:t>
      </w:r>
      <w:r>
        <w:rPr>
          <w:rFonts w:cs="Arial"/>
        </w:rPr>
        <w:t>4</w:t>
      </w:r>
      <w:r w:rsidRPr="000203BC">
        <w:rPr>
          <w:rFonts w:cs="Arial"/>
        </w:rPr>
        <w:t>.</w:t>
      </w:r>
      <w:r>
        <w:rPr>
          <w:rFonts w:cs="Arial"/>
        </w:rPr>
        <w:t>9</w:t>
      </w:r>
      <w:r w:rsidRPr="000203BC">
        <w:rPr>
          <w:rFonts w:cs="Arial"/>
        </w:rPr>
        <w:t xml:space="preserve"> percent of total trade</w:t>
      </w:r>
      <w:r>
        <w:rPr>
          <w:rFonts w:cs="Arial"/>
        </w:rPr>
        <w:t xml:space="preserve">, largely </w:t>
      </w:r>
      <w:r w:rsidRPr="000203BC">
        <w:rPr>
          <w:rFonts w:cs="Arial"/>
        </w:rPr>
        <w:t>reflecting the</w:t>
      </w:r>
      <w:r>
        <w:rPr>
          <w:rFonts w:cs="Arial"/>
        </w:rPr>
        <w:t>ir</w:t>
      </w:r>
      <w:r w:rsidRPr="000203BC">
        <w:rPr>
          <w:rFonts w:cs="Arial"/>
        </w:rPr>
        <w:t xml:space="preserve"> buyback operations.</w:t>
      </w:r>
    </w:p>
    <w:p w14:paraId="43303BD4" w14:textId="77777777" w:rsidR="00A50926" w:rsidRPr="002643D2" w:rsidRDefault="00A50926" w:rsidP="009545C3">
      <w:pPr>
        <w:jc w:val="both"/>
        <w:rPr>
          <w:rFonts w:cs="Arial"/>
          <w:sz w:val="18"/>
          <w:szCs w:val="18"/>
        </w:rPr>
      </w:pPr>
    </w:p>
    <w:p w14:paraId="0AE0DDA0" w14:textId="4725BBC3" w:rsidR="009545C3" w:rsidRDefault="009545C3" w:rsidP="009545C3">
      <w:pPr>
        <w:pStyle w:val="ListParagraph"/>
        <w:ind w:left="360"/>
        <w:jc w:val="both"/>
        <w:rPr>
          <w:rFonts w:cs="Arial"/>
        </w:rPr>
      </w:pPr>
      <w:r>
        <w:rPr>
          <w:rFonts w:cs="Arial"/>
        </w:rPr>
        <w:t>Figure 7: Trading of Benchmark Bonds in NASDAQ-OMX in 2017</w:t>
      </w:r>
    </w:p>
    <w:p w14:paraId="6FA2ED88" w14:textId="45F3D972" w:rsidR="009545C3" w:rsidRDefault="009C00DC" w:rsidP="009545C3">
      <w:pPr>
        <w:pStyle w:val="ListParagraph"/>
        <w:ind w:left="360"/>
        <w:jc w:val="both"/>
        <w:rPr>
          <w:rFonts w:cs="Arial"/>
        </w:rPr>
      </w:pPr>
      <w:r>
        <w:rPr>
          <w:rFonts w:cs="Arial"/>
          <w:noProof/>
          <w:lang w:eastAsia="en-US"/>
        </w:rPr>
        <w:drawing>
          <wp:inline distT="0" distB="0" distL="0" distR="0" wp14:anchorId="6DB2A9A1" wp14:editId="5C15A8A6">
            <wp:extent cx="4584700" cy="27559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87F7344" w14:textId="77777777" w:rsidR="009545C3" w:rsidRDefault="009545C3" w:rsidP="009545C3">
      <w:pPr>
        <w:pStyle w:val="ListParagraph"/>
        <w:ind w:left="360"/>
        <w:jc w:val="both"/>
        <w:rPr>
          <w:rFonts w:cs="Arial"/>
        </w:rPr>
      </w:pPr>
    </w:p>
    <w:p w14:paraId="2C75D118" w14:textId="77777777" w:rsidR="009545C3" w:rsidRDefault="009545C3" w:rsidP="009545C3">
      <w:pPr>
        <w:pStyle w:val="ListParagraph"/>
        <w:ind w:left="360"/>
        <w:jc w:val="both"/>
        <w:rPr>
          <w:rFonts w:cs="Arial"/>
        </w:rPr>
      </w:pPr>
    </w:p>
    <w:p w14:paraId="321836AB" w14:textId="77777777" w:rsidR="009545C3" w:rsidRPr="00D97EBB" w:rsidRDefault="009545C3" w:rsidP="009545C3">
      <w:pPr>
        <w:autoSpaceDE w:val="0"/>
        <w:autoSpaceDN w:val="0"/>
        <w:adjustRightInd w:val="0"/>
        <w:jc w:val="both"/>
        <w:rPr>
          <w:rFonts w:cs="Arial"/>
        </w:rPr>
      </w:pPr>
    </w:p>
    <w:p w14:paraId="65F60A19" w14:textId="77777777" w:rsidR="009545C3" w:rsidRPr="00C055AE" w:rsidRDefault="009545C3" w:rsidP="009545C3">
      <w:pPr>
        <w:pStyle w:val="ListParagraph"/>
        <w:numPr>
          <w:ilvl w:val="0"/>
          <w:numId w:val="3"/>
        </w:numPr>
        <w:autoSpaceDE w:val="0"/>
        <w:autoSpaceDN w:val="0"/>
        <w:adjustRightInd w:val="0"/>
        <w:jc w:val="both"/>
        <w:rPr>
          <w:rFonts w:cs="Arial"/>
        </w:rPr>
      </w:pPr>
      <w:r w:rsidRPr="00C055AE">
        <w:rPr>
          <w:rFonts w:cs="Arial"/>
        </w:rPr>
        <w:t xml:space="preserve">The low liquidity of bonds can also be attributed to the </w:t>
      </w:r>
      <w:r w:rsidRPr="00C055AE">
        <w:rPr>
          <w:rFonts w:eastAsiaTheme="minorHAnsi" w:cs="Arial"/>
          <w:lang w:val="en-GB" w:eastAsia="en-US"/>
        </w:rPr>
        <w:t>fragmented</w:t>
      </w:r>
      <w:r w:rsidRPr="00C055AE">
        <w:rPr>
          <w:rFonts w:cs="Arial"/>
        </w:rPr>
        <w:t xml:space="preserve"> interbank </w:t>
      </w:r>
      <w:proofErr w:type="gramStart"/>
      <w:r w:rsidRPr="00C055AE">
        <w:rPr>
          <w:rFonts w:cs="Arial"/>
        </w:rPr>
        <w:t xml:space="preserve">market, </w:t>
      </w:r>
      <w:r w:rsidRPr="00C055AE">
        <w:rPr>
          <w:rFonts w:eastAsiaTheme="minorHAnsi" w:cs="Arial"/>
          <w:lang w:val="en-GB" w:eastAsia="en-US"/>
        </w:rPr>
        <w:t>that</w:t>
      </w:r>
      <w:proofErr w:type="gramEnd"/>
      <w:r w:rsidRPr="00C055AE">
        <w:rPr>
          <w:rFonts w:eastAsiaTheme="minorHAnsi" w:cs="Arial"/>
          <w:lang w:val="en-GB" w:eastAsia="en-US"/>
        </w:rPr>
        <w:t xml:space="preserve"> limits provision of liquidity in the banking system. Repurchase agreements (repos) represent most of the trades in the interbank market with supply driven by the CBA. Banks are reluctant to trade in the interbank market with no broker to ensure anonymity. The NASDAQ OMX Armenia is however attempting to develop an overnight interbank market. Lack of standardized documentation in the form of the Global Master Repurchase Agreement for repos transactions resulted in banks negotiating one-off contracts with counterparties. The absence of a securities lending facility further restricts interbank market activity and its liquidity. Consequently, with a thin and illiquid money market, the monetary transmission mechanism remains </w:t>
      </w:r>
      <w:proofErr w:type="gramStart"/>
      <w:r w:rsidRPr="00C055AE">
        <w:rPr>
          <w:rFonts w:eastAsiaTheme="minorHAnsi" w:cs="Arial"/>
          <w:lang w:val="en-GB" w:eastAsia="en-US"/>
        </w:rPr>
        <w:t>weak which</w:t>
      </w:r>
      <w:proofErr w:type="gramEnd"/>
      <w:r w:rsidRPr="00C055AE">
        <w:rPr>
          <w:rFonts w:eastAsiaTheme="minorHAnsi" w:cs="Arial"/>
          <w:lang w:val="en-GB" w:eastAsia="en-US"/>
        </w:rPr>
        <w:t xml:space="preserve"> impacts the bond market yields and its </w:t>
      </w:r>
      <w:r>
        <w:rPr>
          <w:rFonts w:eastAsiaTheme="minorHAnsi" w:cs="Arial"/>
          <w:lang w:val="en-GB" w:eastAsia="en-US"/>
        </w:rPr>
        <w:t xml:space="preserve">secondary market </w:t>
      </w:r>
      <w:r w:rsidRPr="00C055AE">
        <w:rPr>
          <w:rFonts w:eastAsiaTheme="minorHAnsi" w:cs="Arial"/>
          <w:lang w:val="en-GB" w:eastAsia="en-US"/>
        </w:rPr>
        <w:t xml:space="preserve">activity. </w:t>
      </w:r>
    </w:p>
    <w:p w14:paraId="2AEE41F7" w14:textId="77777777" w:rsidR="009545C3" w:rsidRPr="00C055AE" w:rsidRDefault="009545C3" w:rsidP="009545C3">
      <w:pPr>
        <w:pStyle w:val="ListParagraph"/>
        <w:autoSpaceDE w:val="0"/>
        <w:autoSpaceDN w:val="0"/>
        <w:adjustRightInd w:val="0"/>
        <w:ind w:left="360"/>
        <w:jc w:val="both"/>
        <w:rPr>
          <w:rFonts w:cs="Arial"/>
        </w:rPr>
      </w:pPr>
    </w:p>
    <w:p w14:paraId="11657541" w14:textId="5181DF58" w:rsidR="009545C3" w:rsidRDefault="009545C3" w:rsidP="009545C3">
      <w:pPr>
        <w:pStyle w:val="ListParagraph"/>
        <w:numPr>
          <w:ilvl w:val="0"/>
          <w:numId w:val="3"/>
        </w:numPr>
        <w:jc w:val="both"/>
        <w:rPr>
          <w:rFonts w:cs="Arial"/>
        </w:rPr>
      </w:pPr>
      <w:r w:rsidRPr="008C1988">
        <w:rPr>
          <w:rFonts w:cs="Arial"/>
        </w:rPr>
        <w:lastRenderedPageBreak/>
        <w:t xml:space="preserve">The bid-ask spread for benchmark bonds </w:t>
      </w:r>
      <w:r>
        <w:rPr>
          <w:rFonts w:cs="Arial"/>
        </w:rPr>
        <w:t>in February 2018 was the lowest for the 3-year benchmark bond (</w:t>
      </w:r>
      <w:r w:rsidRPr="00A44EB7">
        <w:rPr>
          <w:rFonts w:ascii="GHEA Grapalat" w:eastAsia="Times New Roman" w:hAnsi="GHEA Grapalat" w:cs="Arial"/>
          <w:bCs/>
          <w:sz w:val="24"/>
          <w:szCs w:val="24"/>
          <w:lang w:eastAsia="en-GB"/>
        </w:rPr>
        <w:t>AMGN36294202</w:t>
      </w:r>
      <w:r>
        <w:rPr>
          <w:rFonts w:ascii="GHEA Grapalat" w:eastAsia="Times New Roman" w:hAnsi="GHEA Grapalat" w:cs="Arial"/>
          <w:bCs/>
          <w:sz w:val="24"/>
          <w:szCs w:val="24"/>
          <w:lang w:eastAsia="en-GB"/>
        </w:rPr>
        <w:t xml:space="preserve">) at 10 basis points while other benchmark bonds ranged between </w:t>
      </w:r>
      <w:r>
        <w:rPr>
          <w:rFonts w:cs="Arial"/>
        </w:rPr>
        <w:t>26</w:t>
      </w:r>
      <w:r w:rsidRPr="008C1988">
        <w:rPr>
          <w:rFonts w:cs="Arial"/>
        </w:rPr>
        <w:t>-4</w:t>
      </w:r>
      <w:r>
        <w:rPr>
          <w:rFonts w:cs="Arial"/>
        </w:rPr>
        <w:t>8</w:t>
      </w:r>
      <w:r w:rsidRPr="008C1988">
        <w:rPr>
          <w:rFonts w:cs="Arial"/>
        </w:rPr>
        <w:t xml:space="preserve"> basis points reflecting lack of </w:t>
      </w:r>
      <w:r>
        <w:rPr>
          <w:rFonts w:cs="Arial"/>
        </w:rPr>
        <w:t xml:space="preserve">tightness in the </w:t>
      </w:r>
      <w:r w:rsidRPr="008C1988">
        <w:rPr>
          <w:rFonts w:cs="Arial"/>
        </w:rPr>
        <w:t xml:space="preserve">liquidity. The </w:t>
      </w:r>
      <w:proofErr w:type="gramStart"/>
      <w:r>
        <w:rPr>
          <w:rFonts w:cs="Arial"/>
        </w:rPr>
        <w:t>6</w:t>
      </w:r>
      <w:proofErr w:type="gramEnd"/>
      <w:r w:rsidRPr="008C1988">
        <w:rPr>
          <w:rFonts w:cs="Arial"/>
        </w:rPr>
        <w:t xml:space="preserve"> </w:t>
      </w:r>
      <w:r>
        <w:rPr>
          <w:rFonts w:cs="Arial"/>
        </w:rPr>
        <w:t>and 10-year</w:t>
      </w:r>
      <w:r w:rsidRPr="008C1988">
        <w:rPr>
          <w:rFonts w:cs="Arial"/>
        </w:rPr>
        <w:t xml:space="preserve"> benchmark bond</w:t>
      </w:r>
      <w:r>
        <w:rPr>
          <w:rFonts w:cs="Arial"/>
        </w:rPr>
        <w:t>s</w:t>
      </w:r>
      <w:r w:rsidRPr="008C1988">
        <w:rPr>
          <w:rFonts w:cs="Arial"/>
        </w:rPr>
        <w:t xml:space="preserve"> </w:t>
      </w:r>
      <w:r>
        <w:rPr>
          <w:rFonts w:cs="Arial"/>
        </w:rPr>
        <w:t xml:space="preserve">exhibited a spread between 30-32 basis points while the spread of 20 and 30-year bonds ranged between 40 – 45 basis points. </w:t>
      </w:r>
      <w:r w:rsidRPr="008C1988">
        <w:rPr>
          <w:rFonts w:cs="Arial"/>
        </w:rPr>
        <w:t>The</w:t>
      </w:r>
      <w:r>
        <w:rPr>
          <w:rFonts w:cs="Arial"/>
        </w:rPr>
        <w:t xml:space="preserve"> higher spread for the longer-term bonds is due to the uncertainty associated with long-term yields given the potential risk of currency depreciation and </w:t>
      </w:r>
      <w:r w:rsidR="005C6D20">
        <w:rPr>
          <w:rFonts w:cs="Arial"/>
        </w:rPr>
        <w:t>time-varying liquidity premium</w:t>
      </w:r>
      <w:r>
        <w:rPr>
          <w:rFonts w:cs="Arial"/>
        </w:rPr>
        <w:t xml:space="preserve">.  </w:t>
      </w:r>
      <w:r w:rsidRPr="008C1988">
        <w:rPr>
          <w:rFonts w:cs="Arial"/>
        </w:rPr>
        <w:t xml:space="preserve"> </w:t>
      </w:r>
    </w:p>
    <w:p w14:paraId="7C4FEDE4" w14:textId="77777777" w:rsidR="009545C3" w:rsidRPr="002B4032" w:rsidRDefault="009545C3" w:rsidP="009545C3">
      <w:pPr>
        <w:pStyle w:val="ListParagraph"/>
        <w:ind w:left="360"/>
        <w:jc w:val="both"/>
        <w:rPr>
          <w:rFonts w:cs="Arial"/>
        </w:rPr>
      </w:pPr>
    </w:p>
    <w:p w14:paraId="21663546" w14:textId="7E6218F1" w:rsidR="009545C3" w:rsidRPr="002A139D" w:rsidRDefault="009545C3" w:rsidP="009545C3">
      <w:pPr>
        <w:pStyle w:val="ListParagraph"/>
        <w:numPr>
          <w:ilvl w:val="0"/>
          <w:numId w:val="3"/>
        </w:numPr>
        <w:jc w:val="both"/>
        <w:rPr>
          <w:rFonts w:cs="Arial"/>
        </w:rPr>
      </w:pPr>
      <w:r w:rsidRPr="002B4032">
        <w:rPr>
          <w:rFonts w:eastAsiaTheme="minorHAnsi" w:cs="Arial"/>
          <w:lang w:val="en-GB" w:eastAsia="en-US"/>
        </w:rPr>
        <w:t>Although NASDAQ OMX Armenia publishes information on a daily basis about transactions conducted on its exchange, post-trade information from the OTC market does not contain information on the bid-ask spreads and thereby excludes a vital element of information on market liquidity</w:t>
      </w:r>
      <w:r>
        <w:rPr>
          <w:rStyle w:val="FootnoteReference"/>
          <w:rFonts w:eastAsiaTheme="minorHAnsi" w:cs="Arial"/>
          <w:lang w:val="en-GB" w:eastAsia="en-US"/>
        </w:rPr>
        <w:footnoteReference w:id="21"/>
      </w:r>
      <w:r w:rsidRPr="002B4032">
        <w:rPr>
          <w:rFonts w:eastAsiaTheme="minorHAnsi" w:cs="Arial"/>
          <w:lang w:val="en-GB" w:eastAsia="en-US"/>
        </w:rPr>
        <w:t xml:space="preserve">. A centralised </w:t>
      </w:r>
      <w:r w:rsidR="002C298F">
        <w:rPr>
          <w:rFonts w:eastAsiaTheme="minorHAnsi" w:cs="Arial"/>
          <w:lang w:val="en-GB" w:eastAsia="en-US"/>
        </w:rPr>
        <w:t xml:space="preserve">and consolidated </w:t>
      </w:r>
      <w:r w:rsidRPr="002B4032">
        <w:rPr>
          <w:rFonts w:eastAsiaTheme="minorHAnsi" w:cs="Arial"/>
          <w:lang w:val="en-GB" w:eastAsia="en-US"/>
        </w:rPr>
        <w:t xml:space="preserve">reporting system at the CBA or NASDAQ OMX which covers </w:t>
      </w:r>
      <w:proofErr w:type="gramStart"/>
      <w:r w:rsidRPr="002B4032">
        <w:rPr>
          <w:rFonts w:eastAsiaTheme="minorHAnsi" w:cs="Arial"/>
          <w:lang w:val="en-GB" w:eastAsia="en-US"/>
        </w:rPr>
        <w:t xml:space="preserve">all </w:t>
      </w:r>
      <w:r>
        <w:rPr>
          <w:rFonts w:eastAsiaTheme="minorHAnsi" w:cs="Arial"/>
          <w:lang w:val="en-GB" w:eastAsia="en-US"/>
        </w:rPr>
        <w:t>important</w:t>
      </w:r>
      <w:proofErr w:type="gramEnd"/>
      <w:r>
        <w:rPr>
          <w:rFonts w:eastAsiaTheme="minorHAnsi" w:cs="Arial"/>
          <w:lang w:val="en-GB" w:eastAsia="en-US"/>
        </w:rPr>
        <w:t xml:space="preserve"> </w:t>
      </w:r>
      <w:r w:rsidRPr="002B4032">
        <w:rPr>
          <w:rFonts w:eastAsiaTheme="minorHAnsi" w:cs="Arial"/>
          <w:lang w:val="en-GB" w:eastAsia="en-US"/>
        </w:rPr>
        <w:t xml:space="preserve">elements of trades </w:t>
      </w:r>
      <w:r w:rsidR="002C298F">
        <w:rPr>
          <w:rFonts w:eastAsiaTheme="minorHAnsi" w:cs="Arial"/>
          <w:lang w:val="en-GB" w:eastAsia="en-US"/>
        </w:rPr>
        <w:t xml:space="preserve">including their price and volume </w:t>
      </w:r>
      <w:r w:rsidRPr="002B4032">
        <w:rPr>
          <w:rFonts w:eastAsiaTheme="minorHAnsi" w:cs="Arial"/>
          <w:lang w:val="en-GB" w:eastAsia="en-US"/>
        </w:rPr>
        <w:t>need to be developed which can be used to disseminate timely information on a daily basis.</w:t>
      </w:r>
      <w:r w:rsidR="002C298F">
        <w:rPr>
          <w:rFonts w:eastAsiaTheme="minorHAnsi" w:cs="Arial"/>
          <w:lang w:val="en-GB" w:eastAsia="en-US"/>
        </w:rPr>
        <w:t xml:space="preserve"> Collation and dissemination of such consolidated information on important dimensions of trade by individual securities on a real time basis will be crucial to strengthen price discovery process by various market participants. This, in turn, will enable them to take informed decision on their potential trades in a prompt and secured manner with greater certainty and within a transparent framework, thereby inducing greater trade volumes between counterparties. This will also constitute as the bedrock for developing a representative yield curve from secondary market trades.  </w:t>
      </w:r>
    </w:p>
    <w:p w14:paraId="69167234" w14:textId="77777777" w:rsidR="009545C3" w:rsidRPr="002A139D" w:rsidRDefault="009545C3" w:rsidP="009545C3">
      <w:pPr>
        <w:pStyle w:val="ListParagraph"/>
        <w:rPr>
          <w:rFonts w:eastAsiaTheme="minorHAnsi" w:cs="Arial"/>
          <w:lang w:val="en-GB" w:eastAsia="en-US"/>
        </w:rPr>
      </w:pPr>
    </w:p>
    <w:p w14:paraId="1D282270" w14:textId="77777777" w:rsidR="009545C3" w:rsidRPr="002A139D" w:rsidRDefault="009545C3" w:rsidP="009545C3">
      <w:pPr>
        <w:pStyle w:val="ListParagraph"/>
        <w:numPr>
          <w:ilvl w:val="0"/>
          <w:numId w:val="3"/>
        </w:numPr>
        <w:jc w:val="both"/>
      </w:pPr>
      <w:r w:rsidRPr="000677E6">
        <w:rPr>
          <w:rFonts w:eastAsiaTheme="minorHAnsi" w:cs="Arial"/>
          <w:lang w:val="en-GB" w:eastAsia="en-US"/>
        </w:rPr>
        <w:t xml:space="preserve">As privileges, NASDAQ OMX Armenia has granted dealers / agents market-maker status. The requirement for primary dealers to act as market makers, however, does not apply to the over-the-counter (OTC) market. Given that the OTC market caters for a large share of trades, it would be imperative that a homogenous set of dealers / agents assume the same obligations on primary market purchase and market making privileges across both segments of market. </w:t>
      </w:r>
      <w:r w:rsidRPr="002A139D">
        <w:rPr>
          <w:rFonts w:eastAsiaTheme="minorHAnsi" w:cs="Arial"/>
          <w:lang w:val="en-GB" w:eastAsia="en-US"/>
        </w:rPr>
        <w:t xml:space="preserve">  </w:t>
      </w:r>
    </w:p>
    <w:p w14:paraId="27BDEB98" w14:textId="77777777" w:rsidR="009545C3" w:rsidRDefault="009545C3" w:rsidP="009545C3">
      <w:pPr>
        <w:jc w:val="both"/>
        <w:rPr>
          <w:rFonts w:cs="Arial"/>
        </w:rPr>
      </w:pPr>
    </w:p>
    <w:p w14:paraId="3C03F5F1" w14:textId="77777777" w:rsidR="009545C3" w:rsidRDefault="009545C3" w:rsidP="00466D0E">
      <w:pPr>
        <w:pStyle w:val="Topic3"/>
      </w:pPr>
      <w:bookmarkStart w:id="16" w:name="_Toc506537590"/>
      <w:r>
        <w:t>De-dollarization and Development of the Local Currency Bond Market</w:t>
      </w:r>
      <w:bookmarkEnd w:id="16"/>
    </w:p>
    <w:p w14:paraId="7EFF0294" w14:textId="77777777" w:rsidR="009545C3" w:rsidRPr="000A7247" w:rsidRDefault="009545C3" w:rsidP="009545C3">
      <w:pPr>
        <w:jc w:val="both"/>
        <w:rPr>
          <w:rFonts w:cs="Arial"/>
        </w:rPr>
      </w:pPr>
    </w:p>
    <w:p w14:paraId="294E884F" w14:textId="72748F52" w:rsidR="008912B0" w:rsidRDefault="009545C3" w:rsidP="009545C3">
      <w:pPr>
        <w:pStyle w:val="ListParagraph"/>
        <w:numPr>
          <w:ilvl w:val="0"/>
          <w:numId w:val="3"/>
        </w:numPr>
        <w:jc w:val="both"/>
        <w:rPr>
          <w:rFonts w:cs="Arial"/>
        </w:rPr>
      </w:pPr>
      <w:r>
        <w:rPr>
          <w:rFonts w:cs="Arial"/>
        </w:rPr>
        <w:t xml:space="preserve">Given the high degree of financial dollarization in Armenia, deepening of the local currency debt market through accelerated volumes of issuance and establishment of a robust benchmark yield curve will require a holistic de-dollarization macro-financial strategy from the authorities. </w:t>
      </w:r>
      <w:r w:rsidR="008912B0">
        <w:rPr>
          <w:rFonts w:cs="Arial"/>
        </w:rPr>
        <w:t xml:space="preserve">Despite declining interest rates in recent years, the high real interest rate in the economy reflects the risk premia associated with an uncertain economic outlook for inflation and exchange rate. The nexus of high real interest rates and macroeconomic uncertainty has constrained the pace of de-dollarization with a preference for financial assets in hard currencies. However, with the fiscal consolidation program in process, inflation managed to benign level, and the ongoing changes in monetary management framework to manage liquidity, </w:t>
      </w:r>
      <w:r w:rsidR="0067773D">
        <w:rPr>
          <w:rFonts w:cs="Arial"/>
        </w:rPr>
        <w:t xml:space="preserve">macroeconomic stabilization </w:t>
      </w:r>
      <w:proofErr w:type="gramStart"/>
      <w:r w:rsidR="0067773D">
        <w:rPr>
          <w:rFonts w:cs="Arial"/>
        </w:rPr>
        <w:t>is expected to be better entrenched</w:t>
      </w:r>
      <w:proofErr w:type="gramEnd"/>
      <w:r w:rsidR="0067773D">
        <w:rPr>
          <w:rFonts w:cs="Arial"/>
        </w:rPr>
        <w:t xml:space="preserve"> in the near future. Consequently, </w:t>
      </w:r>
      <w:r w:rsidR="008912B0">
        <w:rPr>
          <w:rFonts w:cs="Arial"/>
        </w:rPr>
        <w:t xml:space="preserve">there is a potential to ease real interest rates on Dram denominated </w:t>
      </w:r>
      <w:proofErr w:type="gramStart"/>
      <w:r w:rsidR="008912B0">
        <w:rPr>
          <w:rFonts w:cs="Arial"/>
        </w:rPr>
        <w:t>assets</w:t>
      </w:r>
      <w:r w:rsidR="0067773D">
        <w:rPr>
          <w:rFonts w:cs="Arial"/>
        </w:rPr>
        <w:t xml:space="preserve"> which</w:t>
      </w:r>
      <w:proofErr w:type="gramEnd"/>
      <w:r w:rsidR="0067773D">
        <w:rPr>
          <w:rFonts w:cs="Arial"/>
        </w:rPr>
        <w:t xml:space="preserve"> could open up greater demand for them leading towards de-dollarization. </w:t>
      </w:r>
      <w:r w:rsidR="008912B0">
        <w:rPr>
          <w:rFonts w:cs="Arial"/>
        </w:rPr>
        <w:t xml:space="preserve"> </w:t>
      </w:r>
    </w:p>
    <w:p w14:paraId="7D1C6561" w14:textId="77777777" w:rsidR="008912B0" w:rsidRDefault="008912B0" w:rsidP="009C00DC">
      <w:pPr>
        <w:pStyle w:val="ListParagraph"/>
        <w:ind w:left="360"/>
        <w:jc w:val="both"/>
        <w:rPr>
          <w:rFonts w:cs="Arial"/>
        </w:rPr>
      </w:pPr>
    </w:p>
    <w:p w14:paraId="26C74028" w14:textId="1463DDEC" w:rsidR="0067773D" w:rsidRDefault="0067773D" w:rsidP="0067773D">
      <w:pPr>
        <w:pStyle w:val="ListParagraph"/>
        <w:numPr>
          <w:ilvl w:val="0"/>
          <w:numId w:val="3"/>
        </w:numPr>
        <w:jc w:val="both"/>
        <w:rPr>
          <w:rFonts w:cs="Arial"/>
        </w:rPr>
      </w:pPr>
      <w:proofErr w:type="gramStart"/>
      <w:r>
        <w:rPr>
          <w:rFonts w:cs="Arial"/>
        </w:rPr>
        <w:lastRenderedPageBreak/>
        <w:t xml:space="preserve">To support de-dollarization through </w:t>
      </w:r>
      <w:r w:rsidR="00786239">
        <w:rPr>
          <w:rFonts w:cs="Arial"/>
        </w:rPr>
        <w:t xml:space="preserve">a </w:t>
      </w:r>
      <w:r>
        <w:rPr>
          <w:rFonts w:cs="Arial"/>
        </w:rPr>
        <w:t xml:space="preserve">shift to greater Dram denominated assets, one </w:t>
      </w:r>
      <w:r w:rsidR="009545C3">
        <w:rPr>
          <w:rFonts w:cs="Arial"/>
        </w:rPr>
        <w:t>of the options in this regard, as adopted in other countries from Latin America and Eastern Europe as part of their de-dollarization drive, could be for the government to issue inflation-indexed bonds that would serve to protect the real value of Dram denominated securities and thereby allay investor concerns about local currency asset returns.</w:t>
      </w:r>
      <w:proofErr w:type="gramEnd"/>
      <w:r w:rsidR="009545C3">
        <w:rPr>
          <w:rFonts w:cs="Arial"/>
        </w:rPr>
        <w:t xml:space="preserve"> Issuance of inflation-indexed bonds </w:t>
      </w:r>
      <w:r w:rsidR="00D26B0F">
        <w:rPr>
          <w:rFonts w:cs="Arial"/>
        </w:rPr>
        <w:t xml:space="preserve">(IIBs) </w:t>
      </w:r>
      <w:r w:rsidR="009545C3">
        <w:rPr>
          <w:rFonts w:cs="Arial"/>
        </w:rPr>
        <w:t>will create new sources of demand as an asset class with investors switching from foreign currency assets. At the same time, it will enable anchoring the benchmark yield curve and promote better price discovery process reflecting market expectations.</w:t>
      </w:r>
    </w:p>
    <w:p w14:paraId="44F51200" w14:textId="77777777" w:rsidR="0067773D" w:rsidRPr="0067773D" w:rsidRDefault="0067773D" w:rsidP="009C00DC">
      <w:pPr>
        <w:pStyle w:val="ListParagraph"/>
        <w:rPr>
          <w:rFonts w:cs="Arial"/>
        </w:rPr>
      </w:pPr>
    </w:p>
    <w:p w14:paraId="3487346A" w14:textId="0149D2E8" w:rsidR="004B2F1B" w:rsidRDefault="00786239" w:rsidP="0067773D">
      <w:pPr>
        <w:pStyle w:val="ListParagraph"/>
        <w:numPr>
          <w:ilvl w:val="0"/>
          <w:numId w:val="3"/>
        </w:numPr>
        <w:jc w:val="both"/>
        <w:rPr>
          <w:rFonts w:cs="Arial"/>
        </w:rPr>
      </w:pPr>
      <w:r>
        <w:rPr>
          <w:rFonts w:cs="Arial"/>
        </w:rPr>
        <w:t>I</w:t>
      </w:r>
      <w:r w:rsidR="0067773D">
        <w:rPr>
          <w:rFonts w:cs="Arial"/>
        </w:rPr>
        <w:t xml:space="preserve">t </w:t>
      </w:r>
      <w:proofErr w:type="gramStart"/>
      <w:r w:rsidR="0067773D">
        <w:rPr>
          <w:rFonts w:cs="Arial"/>
        </w:rPr>
        <w:t>would</w:t>
      </w:r>
      <w:r>
        <w:rPr>
          <w:rFonts w:cs="Arial"/>
        </w:rPr>
        <w:t>, however,</w:t>
      </w:r>
      <w:r w:rsidR="0067773D">
        <w:rPr>
          <w:rFonts w:cs="Arial"/>
        </w:rPr>
        <w:t xml:space="preserve"> be</w:t>
      </w:r>
      <w:proofErr w:type="gramEnd"/>
      <w:r w:rsidR="0067773D">
        <w:rPr>
          <w:rFonts w:cs="Arial"/>
        </w:rPr>
        <w:t xml:space="preserve"> important to make a distinction on the primary motive for issuance of </w:t>
      </w:r>
      <w:r w:rsidR="00D26B0F">
        <w:rPr>
          <w:rFonts w:cs="Arial"/>
        </w:rPr>
        <w:t>IIBs</w:t>
      </w:r>
      <w:r w:rsidR="0067773D">
        <w:rPr>
          <w:rFonts w:cs="Arial"/>
        </w:rPr>
        <w:t xml:space="preserve"> for Armenia when compared to other countries. Most of the developing countries faced with hyper-inflationary situation over a prolonged period issued this instrument as a measure of last resort for issuance </w:t>
      </w:r>
      <w:proofErr w:type="gramStart"/>
      <w:r w:rsidR="0067773D">
        <w:rPr>
          <w:rFonts w:cs="Arial"/>
        </w:rPr>
        <w:t>of local currency assets and to elongate their maturity</w:t>
      </w:r>
      <w:proofErr w:type="gramEnd"/>
      <w:r w:rsidR="0067773D">
        <w:rPr>
          <w:rFonts w:cs="Arial"/>
        </w:rPr>
        <w:t>. In contrast</w:t>
      </w:r>
      <w:r w:rsidR="004B2F1B">
        <w:rPr>
          <w:rFonts w:cs="Arial"/>
        </w:rPr>
        <w:t>,</w:t>
      </w:r>
      <w:r w:rsidR="0067773D">
        <w:rPr>
          <w:rFonts w:cs="Arial"/>
        </w:rPr>
        <w:t xml:space="preserve"> some advanced economies </w:t>
      </w:r>
      <w:r w:rsidR="004B2F1B">
        <w:rPr>
          <w:rFonts w:cs="Arial"/>
        </w:rPr>
        <w:t xml:space="preserve">issued this instrument under rising inflationary regime as a signaling mechanism and commitment to control inflation </w:t>
      </w:r>
      <w:proofErr w:type="gramStart"/>
      <w:r w:rsidR="004B2F1B">
        <w:rPr>
          <w:rFonts w:cs="Arial"/>
        </w:rPr>
        <w:t>and also</w:t>
      </w:r>
      <w:proofErr w:type="gramEnd"/>
      <w:r w:rsidR="004B2F1B">
        <w:rPr>
          <w:rFonts w:cs="Arial"/>
        </w:rPr>
        <w:t xml:space="preserve"> to reduce cost for long-term bonds. Finally, a third group, mainly from OECD countries issued </w:t>
      </w:r>
      <w:proofErr w:type="gramStart"/>
      <w:r w:rsidR="004B2F1B">
        <w:rPr>
          <w:rFonts w:cs="Arial"/>
        </w:rPr>
        <w:t>this</w:t>
      </w:r>
      <w:proofErr w:type="gramEnd"/>
      <w:r w:rsidR="004B2F1B">
        <w:rPr>
          <w:rFonts w:cs="Arial"/>
        </w:rPr>
        <w:t xml:space="preserve"> </w:t>
      </w:r>
      <w:r w:rsidR="00D26B0F">
        <w:rPr>
          <w:rFonts w:cs="Arial"/>
        </w:rPr>
        <w:t>IIBs</w:t>
      </w:r>
      <w:r w:rsidR="004B2F1B">
        <w:rPr>
          <w:rFonts w:cs="Arial"/>
        </w:rPr>
        <w:t xml:space="preserve"> for achieving financial market completeness.</w:t>
      </w:r>
    </w:p>
    <w:p w14:paraId="41F289A5" w14:textId="77777777" w:rsidR="004B2F1B" w:rsidRPr="004B2F1B" w:rsidRDefault="004B2F1B" w:rsidP="009C00DC">
      <w:pPr>
        <w:pStyle w:val="ListParagraph"/>
        <w:rPr>
          <w:rFonts w:cs="Arial"/>
        </w:rPr>
      </w:pPr>
    </w:p>
    <w:p w14:paraId="2E3290DF" w14:textId="085A8902" w:rsidR="009545C3" w:rsidRDefault="004B2F1B" w:rsidP="0067773D">
      <w:pPr>
        <w:pStyle w:val="ListParagraph"/>
        <w:numPr>
          <w:ilvl w:val="0"/>
          <w:numId w:val="3"/>
        </w:numPr>
        <w:jc w:val="both"/>
        <w:rPr>
          <w:rFonts w:cs="Arial"/>
        </w:rPr>
      </w:pPr>
      <w:proofErr w:type="gramStart"/>
      <w:r>
        <w:rPr>
          <w:rFonts w:cs="Arial"/>
        </w:rPr>
        <w:t>At this juncture</w:t>
      </w:r>
      <w:proofErr w:type="gramEnd"/>
      <w:r>
        <w:rPr>
          <w:rFonts w:cs="Arial"/>
        </w:rPr>
        <w:t xml:space="preserve">, given that Armenia has already been successful to issue local currency bonds across a long tenure over recent years, issuance of </w:t>
      </w:r>
      <w:r w:rsidR="00D26B0F">
        <w:rPr>
          <w:rFonts w:cs="Arial"/>
        </w:rPr>
        <w:t>IIBs</w:t>
      </w:r>
      <w:r>
        <w:rPr>
          <w:rFonts w:cs="Arial"/>
        </w:rPr>
        <w:t xml:space="preserve"> as a last resort measure does not arise. Similarly, given the nascent stage of financial market development, issuances for market completeness at this stage would be a pre-matured measure. However, given the persisting inflation risk premium on Dram denominated assets, </w:t>
      </w:r>
      <w:r w:rsidR="00D26B0F">
        <w:rPr>
          <w:rFonts w:cs="Arial"/>
        </w:rPr>
        <w:t xml:space="preserve">which </w:t>
      </w:r>
      <w:proofErr w:type="gramStart"/>
      <w:r w:rsidR="00D26B0F">
        <w:rPr>
          <w:rFonts w:cs="Arial"/>
        </w:rPr>
        <w:t>could be biased</w:t>
      </w:r>
      <w:proofErr w:type="gramEnd"/>
      <w:r w:rsidR="00D26B0F">
        <w:rPr>
          <w:rFonts w:cs="Arial"/>
        </w:rPr>
        <w:t xml:space="preserve"> upwards, </w:t>
      </w:r>
      <w:r>
        <w:rPr>
          <w:rFonts w:cs="Arial"/>
        </w:rPr>
        <w:t xml:space="preserve">issuance of </w:t>
      </w:r>
      <w:r w:rsidR="00D26B0F">
        <w:rPr>
          <w:rFonts w:cs="Arial"/>
        </w:rPr>
        <w:t>IIBs</w:t>
      </w:r>
      <w:r>
        <w:rPr>
          <w:rFonts w:cs="Arial"/>
        </w:rPr>
        <w:t xml:space="preserve"> could attract investors switching from hard currency assets to Dram denominated inflation</w:t>
      </w:r>
      <w:r w:rsidR="00D26B0F">
        <w:rPr>
          <w:rFonts w:cs="Arial"/>
        </w:rPr>
        <w:t xml:space="preserve"> indexed bonds at the initial stage. Once the price discovery process for </w:t>
      </w:r>
      <w:r w:rsidR="00383166">
        <w:rPr>
          <w:rFonts w:cs="Arial"/>
        </w:rPr>
        <w:t xml:space="preserve">IIBs </w:t>
      </w:r>
      <w:r w:rsidR="00D26B0F">
        <w:rPr>
          <w:rFonts w:cs="Arial"/>
        </w:rPr>
        <w:t>converges to its equilibrium</w:t>
      </w:r>
      <w:r w:rsidR="00383166">
        <w:rPr>
          <w:rFonts w:cs="Arial"/>
        </w:rPr>
        <w:t xml:space="preserve"> value, information on expected inflation from such bonds could act as an anchor for pricing of nominal long-term </w:t>
      </w:r>
      <w:proofErr w:type="gramStart"/>
      <w:r w:rsidR="00383166">
        <w:rPr>
          <w:rFonts w:cs="Arial"/>
        </w:rPr>
        <w:t>bonds which</w:t>
      </w:r>
      <w:proofErr w:type="gramEnd"/>
      <w:r w:rsidR="00383166">
        <w:rPr>
          <w:rFonts w:cs="Arial"/>
        </w:rPr>
        <w:t xml:space="preserve"> could lead to reduced real interest rates. </w:t>
      </w:r>
      <w:r w:rsidR="00786239">
        <w:rPr>
          <w:rFonts w:cs="Arial"/>
        </w:rPr>
        <w:t xml:space="preserve">Such implied inflation expectations could reflect a correction in the upward bias. </w:t>
      </w:r>
      <w:r w:rsidR="00383166">
        <w:rPr>
          <w:rFonts w:cs="Arial"/>
        </w:rPr>
        <w:t xml:space="preserve">This will result in interest cost savings </w:t>
      </w:r>
      <w:r w:rsidR="00786239">
        <w:rPr>
          <w:rFonts w:cs="Arial"/>
        </w:rPr>
        <w:t xml:space="preserve">on nominal bonds </w:t>
      </w:r>
      <w:r w:rsidR="00383166">
        <w:rPr>
          <w:rFonts w:cs="Arial"/>
        </w:rPr>
        <w:t xml:space="preserve">for the Government as also get transmitted in the pricing of other Dram denominated assets thereby supporting de-dollarization. </w:t>
      </w:r>
      <w:r w:rsidR="00D26B0F">
        <w:rPr>
          <w:rFonts w:cs="Arial"/>
        </w:rPr>
        <w:t xml:space="preserve"> </w:t>
      </w:r>
      <w:r>
        <w:rPr>
          <w:rFonts w:cs="Arial"/>
        </w:rPr>
        <w:t xml:space="preserve">    </w:t>
      </w:r>
      <w:r w:rsidR="009545C3">
        <w:rPr>
          <w:rFonts w:cs="Arial"/>
        </w:rPr>
        <w:t xml:space="preserve"> Limited issuances </w:t>
      </w:r>
      <w:r w:rsidR="00383166">
        <w:rPr>
          <w:rFonts w:cs="Arial"/>
        </w:rPr>
        <w:t xml:space="preserve">of IIBs </w:t>
      </w:r>
      <w:r w:rsidR="009545C3">
        <w:rPr>
          <w:rFonts w:cs="Arial"/>
        </w:rPr>
        <w:t xml:space="preserve">in two key medium and long-term benchmarks initially limited up to 10-year maturity will make the yield curve more effective. In addition to assessment of demand from the investor base, the optimum volume of issuance of inflation-indexed bonds will need to </w:t>
      </w:r>
      <w:proofErr w:type="gramStart"/>
      <w:r w:rsidR="009545C3">
        <w:rPr>
          <w:rFonts w:cs="Arial"/>
        </w:rPr>
        <w:t>be determined</w:t>
      </w:r>
      <w:proofErr w:type="gramEnd"/>
      <w:r w:rsidR="009545C3">
        <w:rPr>
          <w:rFonts w:cs="Arial"/>
        </w:rPr>
        <w:t xml:space="preserve"> by the implications on cost-risk trade-off by broadening the scope of the MTDS to include inflation-indexed bonds as an alternative strategy.      </w:t>
      </w:r>
    </w:p>
    <w:p w14:paraId="64EC924D" w14:textId="77777777" w:rsidR="009545C3" w:rsidRPr="00375287" w:rsidRDefault="009545C3" w:rsidP="009545C3">
      <w:pPr>
        <w:jc w:val="both"/>
        <w:rPr>
          <w:rFonts w:eastAsia="Times New Roman"/>
          <w:i/>
          <w:sz w:val="18"/>
          <w:szCs w:val="18"/>
        </w:rPr>
      </w:pPr>
    </w:p>
    <w:p w14:paraId="62B58543" w14:textId="77777777" w:rsidR="009545C3" w:rsidRPr="001C57B6" w:rsidRDefault="009545C3" w:rsidP="009545C3">
      <w:pPr>
        <w:jc w:val="both"/>
        <w:rPr>
          <w:rFonts w:cs="Arial"/>
          <w:sz w:val="18"/>
          <w:szCs w:val="18"/>
        </w:rPr>
      </w:pPr>
    </w:p>
    <w:p w14:paraId="68C64DC1" w14:textId="77777777" w:rsidR="009545C3" w:rsidRPr="008F75B6" w:rsidRDefault="009545C3" w:rsidP="00466D0E">
      <w:pPr>
        <w:pStyle w:val="Topic3"/>
      </w:pPr>
      <w:bookmarkStart w:id="17" w:name="_Toc506537591"/>
      <w:r>
        <w:t>Liability</w:t>
      </w:r>
      <w:r w:rsidRPr="008F75B6">
        <w:t xml:space="preserve"> Management</w:t>
      </w:r>
      <w:bookmarkEnd w:id="17"/>
    </w:p>
    <w:p w14:paraId="1AA1CCF7" w14:textId="77777777" w:rsidR="009545C3" w:rsidRDefault="009545C3" w:rsidP="009545C3">
      <w:pPr>
        <w:rPr>
          <w:rFonts w:cs="Arial"/>
          <w:b/>
        </w:rPr>
      </w:pPr>
    </w:p>
    <w:p w14:paraId="4C40F021" w14:textId="77777777" w:rsidR="009545C3" w:rsidRDefault="009545C3" w:rsidP="009545C3">
      <w:pPr>
        <w:pStyle w:val="ListParagraph"/>
        <w:numPr>
          <w:ilvl w:val="0"/>
          <w:numId w:val="3"/>
        </w:numPr>
        <w:jc w:val="both"/>
        <w:rPr>
          <w:rFonts w:cs="Arial"/>
        </w:rPr>
      </w:pPr>
      <w:r>
        <w:rPr>
          <w:rFonts w:cs="Arial"/>
        </w:rPr>
        <w:t>As part of buyback operations of G-Sec initiated in recent years through an auction process, PDMD has focused on mitigating refinancing risks over the next five years and retiring illiquid bonds</w:t>
      </w:r>
      <w:r>
        <w:rPr>
          <w:rStyle w:val="FootnoteReference"/>
          <w:rFonts w:cs="Arial"/>
        </w:rPr>
        <w:footnoteReference w:id="22"/>
      </w:r>
      <w:r>
        <w:rPr>
          <w:rFonts w:cs="Arial"/>
        </w:rPr>
        <w:t>. In recent years, significant buybacks were undertaken for previous benchmark bonds maturing during 2018, 2021</w:t>
      </w:r>
      <w:proofErr w:type="gramStart"/>
      <w:r>
        <w:rPr>
          <w:rFonts w:cs="Arial"/>
        </w:rPr>
        <w:t>,2028</w:t>
      </w:r>
      <w:proofErr w:type="gramEnd"/>
      <w:r>
        <w:rPr>
          <w:rFonts w:cs="Arial"/>
        </w:rPr>
        <w:t xml:space="preserve"> and 2032</w:t>
      </w:r>
      <w:r>
        <w:rPr>
          <w:rStyle w:val="FootnoteReference"/>
          <w:rFonts w:cs="Arial"/>
        </w:rPr>
        <w:footnoteReference w:id="23"/>
      </w:r>
      <w:r>
        <w:rPr>
          <w:rFonts w:cs="Arial"/>
        </w:rPr>
        <w:t xml:space="preserve"> (Figure 8). Notwithstanding the buybacks, the redemption pressure from the outstanding bonds remains relatively high through 2021 ranging between AMD 60 – 70 billion. Buybacks during 2017 amounted to </w:t>
      </w:r>
      <w:r>
        <w:rPr>
          <w:rFonts w:cs="Arial"/>
        </w:rPr>
        <w:lastRenderedPageBreak/>
        <w:t xml:space="preserve">AMD 19.6 billion accounting for 3.7 percent of the total bonds. For 2018, the government plans to undertake liability management operations of which 70-80 percent </w:t>
      </w:r>
      <w:proofErr w:type="gramStart"/>
      <w:r>
        <w:rPr>
          <w:rFonts w:cs="Arial"/>
        </w:rPr>
        <w:t>will be targeted</w:t>
      </w:r>
      <w:proofErr w:type="gramEnd"/>
      <w:r>
        <w:rPr>
          <w:rFonts w:cs="Arial"/>
        </w:rPr>
        <w:t xml:space="preserve"> for reducing refinancing risk and 20-30 percent to retire illiquid bonds.</w:t>
      </w:r>
    </w:p>
    <w:p w14:paraId="7248F801" w14:textId="77777777" w:rsidR="009545C3" w:rsidRDefault="009545C3" w:rsidP="009545C3">
      <w:pPr>
        <w:pStyle w:val="ListParagraph"/>
        <w:ind w:left="360"/>
        <w:jc w:val="both"/>
        <w:rPr>
          <w:rFonts w:cs="Arial"/>
        </w:rPr>
      </w:pPr>
    </w:p>
    <w:p w14:paraId="745F2C48" w14:textId="77777777" w:rsidR="009545C3" w:rsidRDefault="009545C3" w:rsidP="009545C3">
      <w:pPr>
        <w:pStyle w:val="ListParagraph"/>
        <w:numPr>
          <w:ilvl w:val="0"/>
          <w:numId w:val="3"/>
        </w:numPr>
        <w:jc w:val="both"/>
        <w:rPr>
          <w:rFonts w:cs="Arial"/>
        </w:rPr>
      </w:pPr>
      <w:r>
        <w:rPr>
          <w:rFonts w:cs="Arial"/>
        </w:rPr>
        <w:t xml:space="preserve">Buyback of illiquid bonds with more than two-year residual maturity at a higher cost to the government need to </w:t>
      </w:r>
      <w:proofErr w:type="gramStart"/>
      <w:r>
        <w:rPr>
          <w:rFonts w:cs="Arial"/>
        </w:rPr>
        <w:t>be reviewed</w:t>
      </w:r>
      <w:proofErr w:type="gramEnd"/>
      <w:r>
        <w:rPr>
          <w:rFonts w:cs="Arial"/>
        </w:rPr>
        <w:t xml:space="preserve"> through a cost-benefit analysis. This is especially relevant when there is a potential to reduce the stock of illiquid bonds by re-designating earlier benchmark bonds to a new benchmark status as alluded to earlier. </w:t>
      </w:r>
    </w:p>
    <w:p w14:paraId="0232B1FB" w14:textId="77777777" w:rsidR="009545C3" w:rsidRDefault="009545C3" w:rsidP="009545C3">
      <w:pPr>
        <w:pStyle w:val="ListParagraph"/>
        <w:ind w:left="360"/>
        <w:jc w:val="both"/>
        <w:rPr>
          <w:rFonts w:cs="Arial"/>
        </w:rPr>
      </w:pPr>
    </w:p>
    <w:p w14:paraId="2BB71DCD" w14:textId="77777777" w:rsidR="00596A46" w:rsidRDefault="009545C3" w:rsidP="009545C3">
      <w:pPr>
        <w:pStyle w:val="ListParagraph"/>
        <w:numPr>
          <w:ilvl w:val="0"/>
          <w:numId w:val="3"/>
        </w:numPr>
        <w:jc w:val="both"/>
        <w:rPr>
          <w:rFonts w:cs="Arial"/>
        </w:rPr>
      </w:pPr>
      <w:r>
        <w:rPr>
          <w:rFonts w:cs="Arial"/>
        </w:rPr>
        <w:t xml:space="preserve">It appears that the yields of the bonds announced for buyback operations tend to decline by more than 100 basis points by the time the transactions </w:t>
      </w:r>
      <w:proofErr w:type="gramStart"/>
      <w:r>
        <w:rPr>
          <w:rFonts w:cs="Arial"/>
        </w:rPr>
        <w:t>are made</w:t>
      </w:r>
      <w:proofErr w:type="gramEnd"/>
      <w:r>
        <w:rPr>
          <w:rFonts w:cs="Arial"/>
        </w:rPr>
        <w:t xml:space="preserve">. As such, a cost-benefit analysis of the extra premium paid by the Government for the buyback operations vis-à-vis the mitigation of the refinancing risk profile and the potential enhancement in liquid bonds could be useful to make it more effective as part of liability management operations. </w:t>
      </w:r>
      <w:r w:rsidR="00E253D8">
        <w:rPr>
          <w:rFonts w:cs="Arial"/>
        </w:rPr>
        <w:t>At the same time, recent buybacks ha</w:t>
      </w:r>
      <w:r w:rsidR="00596A46">
        <w:rPr>
          <w:rFonts w:cs="Arial"/>
        </w:rPr>
        <w:t>ve</w:t>
      </w:r>
      <w:r w:rsidR="00E253D8">
        <w:rPr>
          <w:rFonts w:cs="Arial"/>
        </w:rPr>
        <w:t xml:space="preserve"> </w:t>
      </w:r>
      <w:r w:rsidR="00596A46">
        <w:rPr>
          <w:rFonts w:cs="Arial"/>
        </w:rPr>
        <w:t xml:space="preserve">targeted on-the-run bonds in the recent </w:t>
      </w:r>
      <w:proofErr w:type="gramStart"/>
      <w:r w:rsidR="00596A46">
        <w:rPr>
          <w:rFonts w:cs="Arial"/>
        </w:rPr>
        <w:t>past which</w:t>
      </w:r>
      <w:proofErr w:type="gramEnd"/>
      <w:r w:rsidR="00596A46">
        <w:rPr>
          <w:rFonts w:cs="Arial"/>
        </w:rPr>
        <w:t xml:space="preserve"> could have the potential to serve as a benchmark bond for a lower tenor. </w:t>
      </w:r>
      <w:r>
        <w:rPr>
          <w:rFonts w:cs="Arial"/>
        </w:rPr>
        <w:t xml:space="preserve">The Government is now planning to extend liability management to switch operations that would be cash neutral compared to buyback operations. </w:t>
      </w:r>
    </w:p>
    <w:p w14:paraId="2AFEFC11" w14:textId="77777777" w:rsidR="00596A46" w:rsidRPr="00596A46" w:rsidRDefault="00596A46" w:rsidP="009C00DC">
      <w:pPr>
        <w:pStyle w:val="ListParagraph"/>
        <w:rPr>
          <w:rFonts w:cs="Arial"/>
        </w:rPr>
      </w:pPr>
    </w:p>
    <w:p w14:paraId="6DE2AC58" w14:textId="7A1C4CA7" w:rsidR="009545C3" w:rsidRPr="00125C74" w:rsidRDefault="009545C3" w:rsidP="009545C3">
      <w:pPr>
        <w:pStyle w:val="ListParagraph"/>
        <w:numPr>
          <w:ilvl w:val="0"/>
          <w:numId w:val="3"/>
        </w:numPr>
        <w:jc w:val="both"/>
        <w:rPr>
          <w:rFonts w:cs="Arial"/>
        </w:rPr>
      </w:pPr>
      <w:r>
        <w:rPr>
          <w:rFonts w:cs="Arial"/>
        </w:rPr>
        <w:t xml:space="preserve">A cogent policy framework </w:t>
      </w:r>
      <w:r w:rsidR="00F254F5">
        <w:rPr>
          <w:rFonts w:cs="Arial"/>
        </w:rPr>
        <w:t xml:space="preserve">with detailed guidelines for </w:t>
      </w:r>
      <w:r>
        <w:rPr>
          <w:rFonts w:cs="Arial"/>
        </w:rPr>
        <w:t xml:space="preserve">both buyback and switch operations need to </w:t>
      </w:r>
      <w:proofErr w:type="gramStart"/>
      <w:r>
        <w:rPr>
          <w:rFonts w:cs="Arial"/>
        </w:rPr>
        <w:t>be formulated</w:t>
      </w:r>
      <w:proofErr w:type="gramEnd"/>
      <w:r>
        <w:rPr>
          <w:rFonts w:cs="Arial"/>
        </w:rPr>
        <w:t xml:space="preserve"> as an operating framework.</w:t>
      </w:r>
      <w:r w:rsidR="00596A46">
        <w:rPr>
          <w:rFonts w:cs="Arial"/>
        </w:rPr>
        <w:t xml:space="preserve"> </w:t>
      </w:r>
      <w:r w:rsidR="00E674E4">
        <w:rPr>
          <w:rFonts w:cs="Arial"/>
        </w:rPr>
        <w:t xml:space="preserve">Key objectives for such transactions include mitigation of refinancing risk, increasing liquidity, use of surplus cash to retire debt, and to correct price distortions in secondary market due to open market operations by the central bank. </w:t>
      </w:r>
      <w:r w:rsidR="00596A46">
        <w:rPr>
          <w:rFonts w:cs="Arial"/>
        </w:rPr>
        <w:t xml:space="preserve">The framework should clearly communicate the key objectives </w:t>
      </w:r>
      <w:r w:rsidR="009144A1">
        <w:rPr>
          <w:rFonts w:cs="Arial"/>
        </w:rPr>
        <w:t xml:space="preserve">for such transactions. </w:t>
      </w:r>
      <w:proofErr w:type="gramStart"/>
      <w:r w:rsidR="00E674E4">
        <w:rPr>
          <w:rFonts w:cs="Arial"/>
        </w:rPr>
        <w:t>O</w:t>
      </w:r>
      <w:r w:rsidR="009144A1">
        <w:rPr>
          <w:rFonts w:cs="Arial"/>
        </w:rPr>
        <w:t xml:space="preserve">perations undertaken to mitigate refinancing risks by early redemption of bonds, </w:t>
      </w:r>
      <w:r w:rsidR="003C659A">
        <w:rPr>
          <w:rFonts w:cs="Arial"/>
        </w:rPr>
        <w:t xml:space="preserve">typically </w:t>
      </w:r>
      <w:r w:rsidR="009144A1">
        <w:rPr>
          <w:rFonts w:cs="Arial"/>
        </w:rPr>
        <w:t>starting 12</w:t>
      </w:r>
      <w:r w:rsidR="003C659A">
        <w:rPr>
          <w:rFonts w:cs="Arial"/>
        </w:rPr>
        <w:t>-18</w:t>
      </w:r>
      <w:r w:rsidR="009144A1">
        <w:rPr>
          <w:rFonts w:cs="Arial"/>
        </w:rPr>
        <w:t xml:space="preserve"> months before their maturity.</w:t>
      </w:r>
      <w:proofErr w:type="gramEnd"/>
      <w:r w:rsidR="009144A1">
        <w:rPr>
          <w:rFonts w:cs="Arial"/>
        </w:rPr>
        <w:t xml:space="preserve"> Another policy objective of buybacks / switches is to enh</w:t>
      </w:r>
      <w:r w:rsidR="003C659A">
        <w:rPr>
          <w:rFonts w:cs="Arial"/>
        </w:rPr>
        <w:t xml:space="preserve">ance market liquidity by issuing benchmarks to retire illiquid bonds, after consultation with Primary Dealers. The policy framework should </w:t>
      </w:r>
      <w:r w:rsidR="00E674E4">
        <w:rPr>
          <w:rFonts w:cs="Arial"/>
        </w:rPr>
        <w:t>guide the selection criterion of the bonds being retired. Such criterion should include bonds nearing maturity, off-the-run bonds, illiquid bonds and high coupon bonds. Guidelines should also include frequency</w:t>
      </w:r>
      <w:r w:rsidR="00D224AA">
        <w:rPr>
          <w:rFonts w:cs="Arial"/>
        </w:rPr>
        <w:t>, eligible participants,</w:t>
      </w:r>
      <w:r w:rsidR="00E674E4">
        <w:rPr>
          <w:rFonts w:cs="Arial"/>
        </w:rPr>
        <w:t xml:space="preserve"> </w:t>
      </w:r>
      <w:proofErr w:type="gramStart"/>
      <w:r w:rsidR="00B2162D">
        <w:rPr>
          <w:rFonts w:cs="Arial"/>
        </w:rPr>
        <w:t>organization</w:t>
      </w:r>
      <w:proofErr w:type="gramEnd"/>
      <w:r w:rsidR="00B2162D">
        <w:rPr>
          <w:rFonts w:cs="Arial"/>
        </w:rPr>
        <w:t xml:space="preserve"> </w:t>
      </w:r>
      <w:r w:rsidR="00E674E4">
        <w:rPr>
          <w:rFonts w:cs="Arial"/>
        </w:rPr>
        <w:t xml:space="preserve">and cost considerations of such operations that reflects cost-risk tradeoff or cost-benefit analysis. </w:t>
      </w:r>
      <w:r w:rsidR="003C659A">
        <w:rPr>
          <w:rFonts w:cs="Arial"/>
        </w:rPr>
        <w:t xml:space="preserve">  </w:t>
      </w:r>
      <w:r w:rsidR="009144A1">
        <w:rPr>
          <w:rFonts w:cs="Arial"/>
        </w:rPr>
        <w:t xml:space="preserve">     </w:t>
      </w:r>
      <w:r>
        <w:rPr>
          <w:rFonts w:cs="Arial"/>
        </w:rPr>
        <w:t xml:space="preserve">       </w:t>
      </w:r>
    </w:p>
    <w:p w14:paraId="2BFA94B9" w14:textId="77777777" w:rsidR="009545C3" w:rsidRDefault="009545C3" w:rsidP="009545C3">
      <w:pPr>
        <w:jc w:val="both"/>
        <w:rPr>
          <w:rFonts w:cs="Arial"/>
        </w:rPr>
      </w:pPr>
    </w:p>
    <w:p w14:paraId="47284537" w14:textId="77777777" w:rsidR="009545C3" w:rsidRDefault="009545C3" w:rsidP="009545C3">
      <w:pPr>
        <w:jc w:val="both"/>
        <w:rPr>
          <w:rFonts w:cs="Arial"/>
        </w:rPr>
      </w:pPr>
    </w:p>
    <w:p w14:paraId="6EF417CF" w14:textId="77777777" w:rsidR="009545C3" w:rsidRDefault="009545C3" w:rsidP="009545C3">
      <w:pPr>
        <w:jc w:val="both"/>
        <w:rPr>
          <w:rFonts w:cs="Arial"/>
        </w:rPr>
      </w:pPr>
      <w:r>
        <w:rPr>
          <w:rFonts w:cs="Arial"/>
        </w:rPr>
        <w:t xml:space="preserve">Figure 8: Buyback of Bonds (AMD </w:t>
      </w:r>
      <w:proofErr w:type="gramStart"/>
      <w:r>
        <w:rPr>
          <w:rFonts w:cs="Arial"/>
        </w:rPr>
        <w:t>million</w:t>
      </w:r>
      <w:proofErr w:type="gramEnd"/>
      <w:r>
        <w:rPr>
          <w:rFonts w:cs="Arial"/>
        </w:rPr>
        <w:t>) as on 20 December 2017</w:t>
      </w:r>
    </w:p>
    <w:p w14:paraId="25424F52" w14:textId="21FCDD01" w:rsidR="009545C3" w:rsidRDefault="009C00DC" w:rsidP="009545C3">
      <w:pPr>
        <w:jc w:val="both"/>
        <w:rPr>
          <w:rFonts w:cs="Arial"/>
        </w:rPr>
      </w:pPr>
      <w:r>
        <w:rPr>
          <w:rFonts w:cs="Arial"/>
          <w:noProof/>
          <w:lang w:eastAsia="en-US"/>
        </w:rPr>
        <w:lastRenderedPageBreak/>
        <w:drawing>
          <wp:inline distT="0" distB="0" distL="0" distR="0" wp14:anchorId="50077CE3" wp14:editId="4ACFD3CB">
            <wp:extent cx="4584700" cy="27559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BE9BEA6" w14:textId="77777777" w:rsidR="009545C3" w:rsidRDefault="009545C3" w:rsidP="009545C3">
      <w:pPr>
        <w:rPr>
          <w:rFonts w:cs="Arial"/>
          <w:b/>
        </w:rPr>
      </w:pPr>
    </w:p>
    <w:p w14:paraId="5143D98B" w14:textId="77777777" w:rsidR="009545C3" w:rsidRPr="00CE12F8" w:rsidRDefault="009545C3" w:rsidP="009545C3">
      <w:pPr>
        <w:rPr>
          <w:rFonts w:cs="Arial"/>
          <w:b/>
        </w:rPr>
      </w:pPr>
    </w:p>
    <w:p w14:paraId="32FD916C" w14:textId="77777777" w:rsidR="009545C3" w:rsidRDefault="009545C3" w:rsidP="009545C3">
      <w:pPr>
        <w:pStyle w:val="ListParagraph"/>
        <w:rPr>
          <w:rFonts w:cs="Arial"/>
          <w:b/>
        </w:rPr>
      </w:pPr>
    </w:p>
    <w:p w14:paraId="44C0B39A" w14:textId="77777777" w:rsidR="009545C3" w:rsidRPr="003D30F6" w:rsidRDefault="009545C3" w:rsidP="00466D0E">
      <w:pPr>
        <w:pStyle w:val="Topic2"/>
      </w:pPr>
      <w:bookmarkStart w:id="18" w:name="_Toc506537592"/>
      <w:r>
        <w:t>Cash</w:t>
      </w:r>
      <w:r w:rsidRPr="003D30F6">
        <w:t xml:space="preserve"> Management</w:t>
      </w:r>
      <w:bookmarkEnd w:id="18"/>
    </w:p>
    <w:p w14:paraId="2FB6ECD8" w14:textId="77777777" w:rsidR="009545C3" w:rsidRDefault="009545C3" w:rsidP="009545C3">
      <w:pPr>
        <w:rPr>
          <w:rFonts w:cs="Arial"/>
          <w:b/>
          <w:sz w:val="24"/>
          <w:szCs w:val="24"/>
        </w:rPr>
      </w:pPr>
    </w:p>
    <w:p w14:paraId="17A8E267" w14:textId="77777777" w:rsidR="009545C3" w:rsidRPr="009519F5" w:rsidRDefault="009545C3" w:rsidP="009545C3">
      <w:pPr>
        <w:pStyle w:val="ListParagraph"/>
        <w:numPr>
          <w:ilvl w:val="0"/>
          <w:numId w:val="3"/>
        </w:numPr>
        <w:jc w:val="both"/>
      </w:pPr>
      <w:r w:rsidRPr="00434FE7">
        <w:rPr>
          <w:rFonts w:cs="Arial"/>
          <w:color w:val="000000"/>
        </w:rPr>
        <w:t xml:space="preserve">The Government has made significant progress in terms of government cash management. </w:t>
      </w:r>
      <w:r w:rsidRPr="00434FE7">
        <w:rPr>
          <w:rFonts w:cs="Arial"/>
          <w:lang w:val="en-GB"/>
        </w:rPr>
        <w:t xml:space="preserve">Cash flow forecasts prepared by the PDMD are produced on a quarterly, monthly, weekly, and daily </w:t>
      </w:r>
      <w:proofErr w:type="gramStart"/>
      <w:r w:rsidRPr="00434FE7">
        <w:rPr>
          <w:rFonts w:cs="Arial"/>
          <w:lang w:val="en-GB"/>
        </w:rPr>
        <w:t>basis</w:t>
      </w:r>
      <w:r>
        <w:rPr>
          <w:rFonts w:cs="Arial"/>
          <w:lang w:val="en-GB"/>
        </w:rPr>
        <w:t xml:space="preserve"> which has continued to improve</w:t>
      </w:r>
      <w:proofErr w:type="gramEnd"/>
      <w:r>
        <w:rPr>
          <w:rFonts w:cs="Arial"/>
          <w:lang w:val="en-GB"/>
        </w:rPr>
        <w:t xml:space="preserve"> and proved to be reliable</w:t>
      </w:r>
      <w:r>
        <w:rPr>
          <w:rStyle w:val="FootnoteReference"/>
          <w:rFonts w:cs="Arial"/>
          <w:lang w:val="en-GB"/>
        </w:rPr>
        <w:footnoteReference w:id="24"/>
      </w:r>
      <w:r w:rsidRPr="00434FE7">
        <w:rPr>
          <w:rFonts w:cs="Arial"/>
          <w:lang w:val="en-GB"/>
        </w:rPr>
        <w:t xml:space="preserve">. Overnight cash balances forecasts are available if daily Treasury forecasts </w:t>
      </w:r>
      <w:proofErr w:type="gramStart"/>
      <w:r w:rsidRPr="00434FE7">
        <w:rPr>
          <w:rFonts w:cs="Arial"/>
          <w:lang w:val="en-GB"/>
        </w:rPr>
        <w:t>are produced</w:t>
      </w:r>
      <w:proofErr w:type="gramEnd"/>
      <w:r w:rsidRPr="00434FE7">
        <w:rPr>
          <w:rFonts w:cs="Arial"/>
          <w:lang w:val="en-GB"/>
        </w:rPr>
        <w:t xml:space="preserve">. There is an established target on the Treasury’s preferred liquidity buffer, and actions </w:t>
      </w:r>
      <w:proofErr w:type="gramStart"/>
      <w:r w:rsidRPr="00434FE7">
        <w:rPr>
          <w:rFonts w:cs="Arial"/>
          <w:lang w:val="en-GB"/>
        </w:rPr>
        <w:t>are undertaken</w:t>
      </w:r>
      <w:proofErr w:type="gramEnd"/>
      <w:r w:rsidRPr="00434FE7">
        <w:rPr>
          <w:rFonts w:cs="Arial"/>
          <w:lang w:val="en-GB"/>
        </w:rPr>
        <w:t xml:space="preserve"> on a monthly basis to keep the liquidity buffer at the target level. </w:t>
      </w:r>
    </w:p>
    <w:p w14:paraId="45024B48" w14:textId="77777777" w:rsidR="009545C3" w:rsidRPr="009519F5" w:rsidRDefault="009545C3" w:rsidP="009545C3">
      <w:pPr>
        <w:pStyle w:val="ListParagraph"/>
        <w:ind w:left="360"/>
        <w:jc w:val="both"/>
      </w:pPr>
    </w:p>
    <w:p w14:paraId="040ED609" w14:textId="118EAA0B" w:rsidR="009545C3" w:rsidRPr="009519F5" w:rsidRDefault="009545C3" w:rsidP="009545C3">
      <w:pPr>
        <w:pStyle w:val="ListParagraph"/>
        <w:numPr>
          <w:ilvl w:val="0"/>
          <w:numId w:val="3"/>
        </w:numPr>
        <w:jc w:val="both"/>
      </w:pPr>
      <w:bookmarkStart w:id="19" w:name="_Hlk509337095"/>
      <w:r w:rsidRPr="00434FE7">
        <w:rPr>
          <w:rFonts w:cs="Arial"/>
          <w:lang w:val="en-GB"/>
        </w:rPr>
        <w:t xml:space="preserve">The major building block of expenditure forecasts </w:t>
      </w:r>
      <w:proofErr w:type="gramStart"/>
      <w:r w:rsidRPr="00434FE7">
        <w:rPr>
          <w:rFonts w:cs="Arial"/>
          <w:lang w:val="en-GB"/>
        </w:rPr>
        <w:t>is provided</w:t>
      </w:r>
      <w:proofErr w:type="gramEnd"/>
      <w:r w:rsidRPr="00434FE7">
        <w:rPr>
          <w:rFonts w:cs="Arial"/>
          <w:lang w:val="en-GB"/>
        </w:rPr>
        <w:t xml:space="preserve"> by the Expenditures Finance Department by accurately forecasting the dates of payment for +/- 80% of the budget. With the PDMD not receiving forecasts on tax receipts from the </w:t>
      </w:r>
      <w:r w:rsidR="00CE261D">
        <w:rPr>
          <w:rFonts w:cs="Arial"/>
          <w:lang w:val="en-GB"/>
        </w:rPr>
        <w:t xml:space="preserve">State </w:t>
      </w:r>
      <w:r w:rsidRPr="00434FE7">
        <w:rPr>
          <w:rFonts w:cs="Arial"/>
          <w:lang w:val="en-GB"/>
        </w:rPr>
        <w:t xml:space="preserve">Revenue </w:t>
      </w:r>
      <w:r w:rsidR="00CE261D">
        <w:rPr>
          <w:rFonts w:cs="Arial"/>
          <w:lang w:val="en-GB"/>
        </w:rPr>
        <w:t>Committee</w:t>
      </w:r>
      <w:r w:rsidRPr="00434FE7">
        <w:rPr>
          <w:rFonts w:cs="Arial"/>
          <w:lang w:val="en-GB"/>
        </w:rPr>
        <w:t xml:space="preserve">, the former has to make its projections based on historical trend. Provision of such projections by the </w:t>
      </w:r>
      <w:r w:rsidR="00F17B59">
        <w:rPr>
          <w:rFonts w:cs="Arial"/>
          <w:lang w:val="en-GB"/>
        </w:rPr>
        <w:t xml:space="preserve">State </w:t>
      </w:r>
      <w:r w:rsidRPr="00434FE7">
        <w:rPr>
          <w:rFonts w:cs="Arial"/>
          <w:lang w:val="en-GB"/>
        </w:rPr>
        <w:t xml:space="preserve">Revenue </w:t>
      </w:r>
      <w:r w:rsidR="00CE261D">
        <w:rPr>
          <w:rFonts w:cs="Arial"/>
          <w:lang w:val="en-GB"/>
        </w:rPr>
        <w:t>Committee</w:t>
      </w:r>
      <w:r w:rsidR="00CE261D" w:rsidRPr="00434FE7">
        <w:rPr>
          <w:rFonts w:cs="Arial"/>
          <w:lang w:val="en-GB"/>
        </w:rPr>
        <w:t xml:space="preserve"> </w:t>
      </w:r>
      <w:r w:rsidRPr="00434FE7">
        <w:rPr>
          <w:rFonts w:cs="Arial"/>
          <w:lang w:val="en-GB"/>
        </w:rPr>
        <w:t>could further enhance the accuracy of cash flow forecasts, especially on a daily basis.</w:t>
      </w:r>
      <w:bookmarkEnd w:id="19"/>
      <w:r w:rsidR="00A26480">
        <w:rPr>
          <w:rFonts w:cs="Arial"/>
          <w:lang w:val="en-GB"/>
        </w:rPr>
        <w:t xml:space="preserve"> Better coordination between the State Revenue Committee and PDMD would be required to obtain tax projections over forecasting </w:t>
      </w:r>
      <w:proofErr w:type="gramStart"/>
      <w:r w:rsidR="00A26480">
        <w:rPr>
          <w:rFonts w:cs="Arial"/>
          <w:lang w:val="en-GB"/>
        </w:rPr>
        <w:t>period which</w:t>
      </w:r>
      <w:proofErr w:type="gramEnd"/>
      <w:r w:rsidR="00A26480">
        <w:rPr>
          <w:rFonts w:cs="Arial"/>
          <w:lang w:val="en-GB"/>
        </w:rPr>
        <w:t xml:space="preserve"> can initiated </w:t>
      </w:r>
      <w:r w:rsidR="00BD7130">
        <w:rPr>
          <w:rFonts w:cs="Arial"/>
          <w:lang w:val="en-GB"/>
        </w:rPr>
        <w:t xml:space="preserve">on a quarterly basis and </w:t>
      </w:r>
      <w:r w:rsidR="00A26480">
        <w:rPr>
          <w:rFonts w:cs="Arial"/>
          <w:lang w:val="en-GB"/>
        </w:rPr>
        <w:t>gradually reduced as more capacity develops within the</w:t>
      </w:r>
      <w:r w:rsidR="00BD7130">
        <w:rPr>
          <w:rFonts w:cs="Arial"/>
          <w:lang w:val="en-GB"/>
        </w:rPr>
        <w:t xml:space="preserve"> former to make more robust estimates.</w:t>
      </w:r>
      <w:r w:rsidR="00A26480">
        <w:rPr>
          <w:rFonts w:cs="Arial"/>
          <w:lang w:val="en-GB"/>
        </w:rPr>
        <w:t xml:space="preserve"> </w:t>
      </w:r>
    </w:p>
    <w:p w14:paraId="4835D8AF" w14:textId="77777777" w:rsidR="009545C3" w:rsidRPr="00D94294" w:rsidRDefault="009545C3" w:rsidP="009545C3">
      <w:pPr>
        <w:jc w:val="both"/>
      </w:pPr>
    </w:p>
    <w:p w14:paraId="54C67B01" w14:textId="77777777" w:rsidR="009545C3" w:rsidRPr="00200ED4" w:rsidRDefault="009545C3" w:rsidP="009545C3">
      <w:pPr>
        <w:pStyle w:val="ListParagraph"/>
        <w:numPr>
          <w:ilvl w:val="0"/>
          <w:numId w:val="3"/>
        </w:numPr>
        <w:jc w:val="both"/>
      </w:pPr>
      <w:r>
        <w:rPr>
          <w:rFonts w:cs="Arial"/>
        </w:rPr>
        <w:t xml:space="preserve">Armenia is now well poised to move to active cash </w:t>
      </w:r>
      <w:proofErr w:type="gramStart"/>
      <w:r>
        <w:rPr>
          <w:rFonts w:cs="Arial"/>
        </w:rPr>
        <w:t>management which</w:t>
      </w:r>
      <w:proofErr w:type="gramEnd"/>
      <w:r>
        <w:rPr>
          <w:rFonts w:cs="Arial"/>
        </w:rPr>
        <w:t xml:space="preserve"> will support monetary policy as also the development of a liquid money market. As such, new instruments </w:t>
      </w:r>
      <w:proofErr w:type="gramStart"/>
      <w:r>
        <w:rPr>
          <w:rFonts w:cs="Arial"/>
        </w:rPr>
        <w:t>should be made</w:t>
      </w:r>
      <w:proofErr w:type="gramEnd"/>
      <w:r>
        <w:rPr>
          <w:rFonts w:cs="Arial"/>
        </w:rPr>
        <w:t xml:space="preserve"> available to raise and deploy very short-term resources in the event of cash deficit or surplus. For short-term borrowing, the PDMD cannot borrow from the market through less than 1 week of T-Bills. </w:t>
      </w:r>
      <w:r w:rsidRPr="00200ED4">
        <w:rPr>
          <w:rFonts w:cs="Arial"/>
        </w:rPr>
        <w:t>For deployment of cash surplus, deposit facility is available at the CBA for time deposits of 7 days or more.</w:t>
      </w:r>
      <w:r>
        <w:rPr>
          <w:rFonts w:cs="Arial"/>
        </w:rPr>
        <w:t xml:space="preserve"> Availability of repos could help PDMD to undertake cash management on an overnight basis. However, the repo market will need to develop before such operations are undertaken. At the same time, capacity within </w:t>
      </w:r>
      <w:r>
        <w:rPr>
          <w:rFonts w:cs="Arial"/>
        </w:rPr>
        <w:lastRenderedPageBreak/>
        <w:t xml:space="preserve">the PDMD </w:t>
      </w:r>
      <w:proofErr w:type="gramStart"/>
      <w:r>
        <w:rPr>
          <w:rFonts w:cs="Arial"/>
        </w:rPr>
        <w:t>should be developed</w:t>
      </w:r>
      <w:proofErr w:type="gramEnd"/>
      <w:r>
        <w:rPr>
          <w:rFonts w:cs="Arial"/>
        </w:rPr>
        <w:t xml:space="preserve"> with respect to counterparty credit risk management associated with repos. </w:t>
      </w:r>
    </w:p>
    <w:p w14:paraId="58C78DAC" w14:textId="77777777" w:rsidR="00B148B3" w:rsidRDefault="00B148B3" w:rsidP="009545C3">
      <w:pPr>
        <w:spacing w:after="200" w:line="276" w:lineRule="auto"/>
        <w:rPr>
          <w:rFonts w:cs="Arial"/>
          <w:b/>
        </w:rPr>
      </w:pPr>
    </w:p>
    <w:p w14:paraId="290E2844" w14:textId="77777777" w:rsidR="009545C3" w:rsidRDefault="009545C3" w:rsidP="00466D0E">
      <w:pPr>
        <w:pStyle w:val="Topic2"/>
      </w:pPr>
      <w:bookmarkStart w:id="20" w:name="_Toc506537593"/>
      <w:r w:rsidRPr="008D1BE1">
        <w:t>Institutional Arrangements</w:t>
      </w:r>
      <w:bookmarkEnd w:id="20"/>
    </w:p>
    <w:p w14:paraId="1F2B886E" w14:textId="77777777" w:rsidR="009545C3" w:rsidRDefault="009545C3" w:rsidP="009545C3">
      <w:pPr>
        <w:pStyle w:val="ListParagraph"/>
        <w:ind w:left="360"/>
        <w:jc w:val="both"/>
      </w:pPr>
    </w:p>
    <w:p w14:paraId="498FAE58" w14:textId="31B5D880" w:rsidR="00AB539F" w:rsidRDefault="009545C3" w:rsidP="00AB539F">
      <w:pPr>
        <w:pStyle w:val="ListParagraph"/>
        <w:numPr>
          <w:ilvl w:val="0"/>
          <w:numId w:val="3"/>
        </w:numPr>
        <w:jc w:val="both"/>
      </w:pPr>
      <w:r>
        <w:t xml:space="preserve">A key shortcoming in the institutional arrangements is the role of the PDMD and the Ministry of Finance (MoF) vis-à-vis the line Ministries in the contraction of external loans. </w:t>
      </w:r>
      <w:r w:rsidR="00B50965">
        <w:t xml:space="preserve">Faced </w:t>
      </w:r>
      <w:proofErr w:type="gramStart"/>
      <w:r w:rsidR="00B50965">
        <w:t xml:space="preserve">with a </w:t>
      </w:r>
      <w:r w:rsidR="00AB539F">
        <w:t xml:space="preserve">supply-driven </w:t>
      </w:r>
      <w:r w:rsidR="00B50965">
        <w:t>external loans</w:t>
      </w:r>
      <w:proofErr w:type="gramEnd"/>
      <w:r w:rsidR="00B50965">
        <w:t xml:space="preserve"> from various creditors</w:t>
      </w:r>
      <w:r w:rsidR="002E2982">
        <w:t xml:space="preserve"> and </w:t>
      </w:r>
      <w:r w:rsidR="00AB539F">
        <w:t xml:space="preserve">elevated </w:t>
      </w:r>
      <w:r w:rsidR="002E2982">
        <w:t>demand for projects from various line ministries</w:t>
      </w:r>
      <w:r w:rsidR="00B50965">
        <w:t xml:space="preserve">, the response by the Government has been to maximize external loans, which frequently exceeds the target volume determined by the MTDS. Domestic financing is in effect a residual financing mechanism, thereby falling short of the MTDS target. </w:t>
      </w:r>
      <w:r w:rsidR="005E46E7">
        <w:t>This results in actual financing decisions to deviate f</w:t>
      </w:r>
      <w:r w:rsidR="002E2982">
        <w:t xml:space="preserve">requently and significantly </w:t>
      </w:r>
      <w:proofErr w:type="gramStart"/>
      <w:r w:rsidR="002E2982">
        <w:t>from the MTDS targets with consequences for the cost-risk trade-off for the government</w:t>
      </w:r>
      <w:proofErr w:type="gramEnd"/>
      <w:r w:rsidR="002E2982">
        <w:t>.</w:t>
      </w:r>
      <w:r w:rsidR="00AB539F">
        <w:t xml:space="preserve"> This warrants actual financing decisions to </w:t>
      </w:r>
      <w:proofErr w:type="gramStart"/>
      <w:r w:rsidR="00AB539F">
        <w:t>be closely aligned</w:t>
      </w:r>
      <w:proofErr w:type="gramEnd"/>
      <w:r w:rsidR="00AB539F">
        <w:t xml:space="preserve"> with MTDS targets and considerations.</w:t>
      </w:r>
    </w:p>
    <w:p w14:paraId="28202FC6" w14:textId="77777777" w:rsidR="00AB539F" w:rsidRDefault="00AB539F" w:rsidP="009C00DC">
      <w:pPr>
        <w:pStyle w:val="ListParagraph"/>
      </w:pPr>
    </w:p>
    <w:p w14:paraId="0550229D" w14:textId="50C07714" w:rsidR="00AB539F" w:rsidRPr="00A95E88" w:rsidRDefault="00AB539F" w:rsidP="00AB539F">
      <w:pPr>
        <w:pStyle w:val="ListParagraph"/>
        <w:numPr>
          <w:ilvl w:val="0"/>
          <w:numId w:val="3"/>
        </w:numPr>
        <w:jc w:val="both"/>
      </w:pPr>
      <w:r>
        <w:rPr>
          <w:rFonts w:cs="Arial"/>
          <w:color w:val="000000"/>
        </w:rPr>
        <w:t xml:space="preserve">As a first step, if future domestic financing availability, investor demand conditions and market conditions are perceived to be within the MTDS baseline scenario estimates, the volume of annual external borrowing as a residual should be targeted over the medium-term in accordance with the external-domestic borrowing mix assumed in the MTDS. It would also be important that the volume of external financing envisaged </w:t>
      </w:r>
      <w:proofErr w:type="gramStart"/>
      <w:r>
        <w:rPr>
          <w:rFonts w:cs="Arial"/>
          <w:color w:val="000000"/>
        </w:rPr>
        <w:t>ensures</w:t>
      </w:r>
      <w:proofErr w:type="gramEnd"/>
      <w:r>
        <w:rPr>
          <w:rFonts w:cs="Arial"/>
          <w:color w:val="000000"/>
        </w:rPr>
        <w:t xml:space="preserve"> debt sustainability. </w:t>
      </w:r>
      <w:r w:rsidR="006B3930">
        <w:rPr>
          <w:rFonts w:cs="Arial"/>
          <w:color w:val="000000"/>
        </w:rPr>
        <w:t xml:space="preserve">The second step involves </w:t>
      </w:r>
      <w:r>
        <w:rPr>
          <w:rFonts w:cs="Arial"/>
          <w:color w:val="000000"/>
        </w:rPr>
        <w:t>set</w:t>
      </w:r>
      <w:r w:rsidR="006B3930">
        <w:rPr>
          <w:rFonts w:cs="Arial"/>
          <w:color w:val="000000"/>
        </w:rPr>
        <w:t>ting</w:t>
      </w:r>
      <w:r>
        <w:rPr>
          <w:rFonts w:cs="Arial"/>
          <w:color w:val="000000"/>
        </w:rPr>
        <w:t xml:space="preserve"> a cap on the quantum of external loans that </w:t>
      </w:r>
      <w:proofErr w:type="gramStart"/>
      <w:r>
        <w:rPr>
          <w:rFonts w:cs="Arial"/>
          <w:color w:val="000000"/>
        </w:rPr>
        <w:t>can be contracted</w:t>
      </w:r>
      <w:proofErr w:type="gramEnd"/>
      <w:r>
        <w:rPr>
          <w:rFonts w:cs="Arial"/>
          <w:color w:val="000000"/>
        </w:rPr>
        <w:t xml:space="preserve"> annually based on the relationship between loan commitment amount and </w:t>
      </w:r>
      <w:r w:rsidR="006B3930">
        <w:rPr>
          <w:rFonts w:cs="Arial"/>
          <w:color w:val="000000"/>
        </w:rPr>
        <w:t xml:space="preserve">its </w:t>
      </w:r>
      <w:r>
        <w:rPr>
          <w:rFonts w:cs="Arial"/>
          <w:color w:val="000000"/>
        </w:rPr>
        <w:t xml:space="preserve">disbursements. The cap on loan contraction </w:t>
      </w:r>
      <w:proofErr w:type="gramStart"/>
      <w:r>
        <w:rPr>
          <w:rFonts w:cs="Arial"/>
          <w:color w:val="000000"/>
        </w:rPr>
        <w:t>can be indicated</w:t>
      </w:r>
      <w:proofErr w:type="gramEnd"/>
      <w:r>
        <w:rPr>
          <w:rFonts w:cs="Arial"/>
          <w:color w:val="000000"/>
        </w:rPr>
        <w:t xml:space="preserve"> within a band of +/- 10 percent due to the uncertainty associated with domestic financing conditions and utilization of external loans. This annual cap as determined by the PDMD will require the approval of the Minister of Finance, and preferably issued as a Presidential </w:t>
      </w:r>
      <w:proofErr w:type="gramStart"/>
      <w:r>
        <w:rPr>
          <w:rFonts w:cs="Arial"/>
          <w:color w:val="000000"/>
        </w:rPr>
        <w:t>Decree which</w:t>
      </w:r>
      <w:proofErr w:type="gramEnd"/>
      <w:r>
        <w:rPr>
          <w:rFonts w:cs="Arial"/>
          <w:color w:val="000000"/>
        </w:rPr>
        <w:t xml:space="preserve"> needs to be followed in spirit. The determination of the annual target on external loans will also enable PDMD to better plan issuances of government securities in the domestic market to finance the remaining gap</w:t>
      </w:r>
      <w:r w:rsidR="006B3930">
        <w:rPr>
          <w:rFonts w:cs="Arial"/>
          <w:color w:val="000000"/>
        </w:rPr>
        <w:t>, while ensuring close match with the MTDS targets</w:t>
      </w:r>
      <w:r>
        <w:rPr>
          <w:rFonts w:cs="Arial"/>
          <w:color w:val="000000"/>
        </w:rPr>
        <w:t xml:space="preserve">.   </w:t>
      </w:r>
    </w:p>
    <w:p w14:paraId="4C418ABA" w14:textId="02A528B7" w:rsidR="002E2982" w:rsidRDefault="002E2982" w:rsidP="009C00DC">
      <w:pPr>
        <w:pStyle w:val="ListParagraph"/>
        <w:ind w:left="360"/>
        <w:jc w:val="both"/>
      </w:pPr>
    </w:p>
    <w:p w14:paraId="283CAD12" w14:textId="76591DBB" w:rsidR="00212C1F" w:rsidRPr="009C00DC" w:rsidRDefault="006B3930" w:rsidP="009545C3">
      <w:pPr>
        <w:pStyle w:val="ListParagraph"/>
        <w:numPr>
          <w:ilvl w:val="0"/>
          <w:numId w:val="3"/>
        </w:numPr>
        <w:jc w:val="both"/>
      </w:pPr>
      <w:r>
        <w:rPr>
          <w:rFonts w:cs="Arial"/>
          <w:color w:val="000000"/>
        </w:rPr>
        <w:t>Another key shortcoming of the institutional arrangements is that t</w:t>
      </w:r>
      <w:r w:rsidRPr="00846BED">
        <w:rPr>
          <w:rFonts w:cs="Arial"/>
          <w:color w:val="000000"/>
        </w:rPr>
        <w:t xml:space="preserve">he </w:t>
      </w:r>
      <w:r w:rsidR="009545C3" w:rsidRPr="00846BED">
        <w:rPr>
          <w:rFonts w:cs="Arial"/>
          <w:color w:val="000000"/>
        </w:rPr>
        <w:t xml:space="preserve">Minister of Finance </w:t>
      </w:r>
      <w:r w:rsidR="009545C3">
        <w:rPr>
          <w:rFonts w:cs="Arial"/>
          <w:color w:val="000000"/>
        </w:rPr>
        <w:t xml:space="preserve">and PDMD </w:t>
      </w:r>
      <w:r>
        <w:rPr>
          <w:rFonts w:cs="Arial"/>
          <w:color w:val="000000"/>
        </w:rPr>
        <w:t>are</w:t>
      </w:r>
      <w:r w:rsidRPr="00846BED">
        <w:rPr>
          <w:rFonts w:cs="Arial"/>
          <w:color w:val="000000"/>
        </w:rPr>
        <w:t xml:space="preserve"> </w:t>
      </w:r>
      <w:r w:rsidR="009545C3" w:rsidRPr="00846BED">
        <w:rPr>
          <w:rFonts w:cs="Arial"/>
          <w:color w:val="000000"/>
        </w:rPr>
        <w:t xml:space="preserve">not involved </w:t>
      </w:r>
      <w:r w:rsidR="009545C3">
        <w:rPr>
          <w:rFonts w:cs="Arial"/>
          <w:color w:val="000000"/>
        </w:rPr>
        <w:t xml:space="preserve">on the </w:t>
      </w:r>
      <w:r w:rsidR="009545C3" w:rsidRPr="00846BED">
        <w:rPr>
          <w:rFonts w:cs="Arial"/>
          <w:color w:val="000000"/>
        </w:rPr>
        <w:t xml:space="preserve">design </w:t>
      </w:r>
      <w:r w:rsidR="009545C3">
        <w:rPr>
          <w:rFonts w:cs="Arial"/>
          <w:color w:val="000000"/>
        </w:rPr>
        <w:t xml:space="preserve">and negotiation of </w:t>
      </w:r>
      <w:r w:rsidR="009545C3" w:rsidRPr="00846BED">
        <w:rPr>
          <w:rFonts w:cs="Arial"/>
          <w:color w:val="000000"/>
        </w:rPr>
        <w:t>the projects fund</w:t>
      </w:r>
      <w:r w:rsidR="009545C3">
        <w:rPr>
          <w:rFonts w:cs="Arial"/>
          <w:color w:val="000000"/>
        </w:rPr>
        <w:t xml:space="preserve">ed by external loans as also </w:t>
      </w:r>
      <w:r w:rsidR="009545C3" w:rsidRPr="00846BED">
        <w:rPr>
          <w:rFonts w:cs="Arial"/>
          <w:color w:val="000000"/>
        </w:rPr>
        <w:t xml:space="preserve">in the choice of the </w:t>
      </w:r>
      <w:r w:rsidR="009545C3">
        <w:rPr>
          <w:rFonts w:cs="Arial"/>
          <w:color w:val="000000"/>
        </w:rPr>
        <w:t>external</w:t>
      </w:r>
      <w:r w:rsidR="009545C3" w:rsidRPr="00846BED">
        <w:rPr>
          <w:rFonts w:cs="Arial"/>
          <w:color w:val="000000"/>
        </w:rPr>
        <w:t xml:space="preserve"> creditor. When </w:t>
      </w:r>
      <w:r w:rsidR="009545C3">
        <w:rPr>
          <w:rFonts w:cs="Arial"/>
          <w:color w:val="000000"/>
        </w:rPr>
        <w:t xml:space="preserve">the MoF and PDMD gets involved </w:t>
      </w:r>
      <w:r w:rsidR="009545C3" w:rsidRPr="00846BED">
        <w:rPr>
          <w:rFonts w:cs="Arial"/>
          <w:color w:val="000000"/>
        </w:rPr>
        <w:t>in the discussion o</w:t>
      </w:r>
      <w:r w:rsidR="009545C3">
        <w:rPr>
          <w:rFonts w:cs="Arial"/>
          <w:color w:val="000000"/>
        </w:rPr>
        <w:t xml:space="preserve">n such project loans related to its </w:t>
      </w:r>
      <w:r w:rsidR="009545C3" w:rsidRPr="00846BED">
        <w:rPr>
          <w:rFonts w:cs="Arial"/>
          <w:color w:val="000000"/>
        </w:rPr>
        <w:t xml:space="preserve">financial </w:t>
      </w:r>
      <w:r w:rsidR="009545C3">
        <w:rPr>
          <w:rFonts w:cs="Arial"/>
          <w:color w:val="000000"/>
        </w:rPr>
        <w:t>terms</w:t>
      </w:r>
      <w:r w:rsidR="009545C3" w:rsidRPr="00846BED">
        <w:rPr>
          <w:rFonts w:cs="Arial"/>
          <w:color w:val="000000"/>
        </w:rPr>
        <w:t xml:space="preserve">, </w:t>
      </w:r>
      <w:r w:rsidR="009545C3">
        <w:rPr>
          <w:rFonts w:cs="Arial"/>
          <w:color w:val="000000"/>
        </w:rPr>
        <w:t xml:space="preserve">many of which are standard based on the creditor, </w:t>
      </w:r>
      <w:r w:rsidR="009545C3" w:rsidRPr="00846BED">
        <w:rPr>
          <w:rFonts w:cs="Arial"/>
          <w:color w:val="000000"/>
        </w:rPr>
        <w:t xml:space="preserve">it is too late to change </w:t>
      </w:r>
      <w:r w:rsidR="009545C3">
        <w:rPr>
          <w:rFonts w:cs="Arial"/>
          <w:color w:val="000000"/>
        </w:rPr>
        <w:t xml:space="preserve">the financial terms or the </w:t>
      </w:r>
      <w:r w:rsidR="009545C3" w:rsidRPr="00846BED">
        <w:rPr>
          <w:rFonts w:cs="Arial"/>
          <w:color w:val="000000"/>
        </w:rPr>
        <w:t>creditor</w:t>
      </w:r>
      <w:r w:rsidR="009545C3">
        <w:rPr>
          <w:rFonts w:cs="Arial"/>
          <w:color w:val="000000"/>
        </w:rPr>
        <w:t>,</w:t>
      </w:r>
      <w:r w:rsidR="009545C3" w:rsidRPr="00846BED">
        <w:rPr>
          <w:rFonts w:cs="Arial"/>
          <w:color w:val="000000"/>
        </w:rPr>
        <w:t xml:space="preserve"> even when the loan is not in line with the debt </w:t>
      </w:r>
      <w:r>
        <w:rPr>
          <w:rFonts w:cs="Arial"/>
          <w:color w:val="000000"/>
        </w:rPr>
        <w:t xml:space="preserve">management </w:t>
      </w:r>
      <w:r w:rsidR="009545C3" w:rsidRPr="00846BED">
        <w:rPr>
          <w:rFonts w:cs="Arial"/>
          <w:color w:val="000000"/>
        </w:rPr>
        <w:t>strategy.</w:t>
      </w:r>
      <w:r w:rsidR="009545C3">
        <w:rPr>
          <w:rFonts w:cs="Arial"/>
          <w:color w:val="000000"/>
        </w:rPr>
        <w:t xml:space="preserve"> The only element where the MoF exercise some influence on such project loans is to ensure that the grant element of the loan is at least 30 percent. </w:t>
      </w:r>
    </w:p>
    <w:p w14:paraId="301D8301" w14:textId="77777777" w:rsidR="00212C1F" w:rsidRPr="009C00DC" w:rsidRDefault="00212C1F" w:rsidP="009C00DC">
      <w:pPr>
        <w:pStyle w:val="ListParagraph"/>
        <w:ind w:left="360"/>
        <w:jc w:val="both"/>
      </w:pPr>
    </w:p>
    <w:p w14:paraId="20D29662" w14:textId="77777777" w:rsidR="00EC6A69" w:rsidRPr="009C00DC" w:rsidRDefault="009545C3" w:rsidP="006B3930">
      <w:pPr>
        <w:pStyle w:val="ListParagraph"/>
        <w:numPr>
          <w:ilvl w:val="0"/>
          <w:numId w:val="3"/>
        </w:numPr>
        <w:jc w:val="both"/>
      </w:pPr>
      <w:r w:rsidRPr="006B3930">
        <w:rPr>
          <w:rFonts w:cs="Arial"/>
          <w:color w:val="000000"/>
        </w:rPr>
        <w:t xml:space="preserve">A change in the institutional arrangement </w:t>
      </w:r>
      <w:proofErr w:type="gramStart"/>
      <w:r w:rsidRPr="006B3930">
        <w:rPr>
          <w:rFonts w:cs="Arial"/>
          <w:color w:val="000000"/>
        </w:rPr>
        <w:t>is therefore recommended</w:t>
      </w:r>
      <w:proofErr w:type="gramEnd"/>
      <w:r w:rsidRPr="006B3930">
        <w:rPr>
          <w:rFonts w:cs="Arial"/>
          <w:color w:val="000000"/>
        </w:rPr>
        <w:t xml:space="preserve"> to ensure external borrowings takes place in conformity with debt management considerations. Involvement of the MoF and the PDMD at the early stages of negotiation of the loan with the line ministries can be a solution to this problem.</w:t>
      </w:r>
      <w:r w:rsidR="0052239C" w:rsidRPr="006B3930">
        <w:rPr>
          <w:rFonts w:cs="Arial"/>
          <w:color w:val="000000"/>
        </w:rPr>
        <w:t xml:space="preserve"> </w:t>
      </w:r>
      <w:r w:rsidR="00212C1F" w:rsidRPr="006B3930">
        <w:rPr>
          <w:rFonts w:cs="Arial"/>
          <w:color w:val="000000"/>
        </w:rPr>
        <w:t xml:space="preserve">Anchored on its MTDS, the PDMD can prepare a list of </w:t>
      </w:r>
      <w:r w:rsidR="003D6B23">
        <w:rPr>
          <w:rFonts w:cs="Arial"/>
          <w:color w:val="000000"/>
        </w:rPr>
        <w:t xml:space="preserve">preferred </w:t>
      </w:r>
      <w:r w:rsidR="00212C1F" w:rsidRPr="003D6B23">
        <w:rPr>
          <w:rFonts w:cs="Arial"/>
          <w:color w:val="000000"/>
        </w:rPr>
        <w:t xml:space="preserve">creditors grouped into three </w:t>
      </w:r>
      <w:r w:rsidR="003D6B23">
        <w:rPr>
          <w:rFonts w:cs="Arial"/>
          <w:color w:val="000000"/>
        </w:rPr>
        <w:t xml:space="preserve">broad </w:t>
      </w:r>
      <w:r w:rsidR="00212C1F" w:rsidRPr="003D6B23">
        <w:rPr>
          <w:rFonts w:cs="Arial"/>
          <w:color w:val="000000"/>
        </w:rPr>
        <w:t xml:space="preserve">categories based on </w:t>
      </w:r>
      <w:r w:rsidR="003D6B23">
        <w:rPr>
          <w:rFonts w:cs="Arial"/>
          <w:color w:val="000000"/>
        </w:rPr>
        <w:t>their</w:t>
      </w:r>
      <w:r w:rsidR="00212C1F" w:rsidRPr="003D6B23">
        <w:rPr>
          <w:rFonts w:cs="Arial"/>
          <w:color w:val="000000"/>
        </w:rPr>
        <w:t xml:space="preserve"> standard loan terms </w:t>
      </w:r>
      <w:r w:rsidR="0052239C" w:rsidRPr="003D6B23">
        <w:rPr>
          <w:rFonts w:cs="Arial"/>
          <w:color w:val="000000"/>
        </w:rPr>
        <w:t xml:space="preserve">and classify them </w:t>
      </w:r>
      <w:r w:rsidR="003D6B23">
        <w:rPr>
          <w:rFonts w:cs="Arial"/>
          <w:color w:val="000000"/>
        </w:rPr>
        <w:t xml:space="preserve">reflecting varying degree of preference for contracting loans from them. This may imply there may be some creditors who will not be included in the preferred list and with whom no loans </w:t>
      </w:r>
      <w:proofErr w:type="gramStart"/>
      <w:r w:rsidR="003D6B23">
        <w:rPr>
          <w:rFonts w:cs="Arial"/>
          <w:color w:val="000000"/>
        </w:rPr>
        <w:t>will be contracted</w:t>
      </w:r>
      <w:proofErr w:type="gramEnd"/>
      <w:r w:rsidR="003D6B23">
        <w:rPr>
          <w:rFonts w:cs="Arial"/>
          <w:color w:val="000000"/>
        </w:rPr>
        <w:t xml:space="preserve">. </w:t>
      </w:r>
      <w:proofErr w:type="gramStart"/>
      <w:r w:rsidR="003D6B23">
        <w:rPr>
          <w:rFonts w:cs="Arial"/>
          <w:color w:val="000000"/>
        </w:rPr>
        <w:t xml:space="preserve">While this could be sensitive issue to make such list public, especially with regard to the bilateral or multilateral relations maintained by the Republic of Armenia, formulation of such a list </w:t>
      </w:r>
      <w:r w:rsidR="00EC6A69">
        <w:rPr>
          <w:rFonts w:cs="Arial"/>
          <w:color w:val="000000"/>
        </w:rPr>
        <w:t xml:space="preserve">as an internal guideline </w:t>
      </w:r>
      <w:r w:rsidR="003D6B23">
        <w:rPr>
          <w:rFonts w:cs="Arial"/>
          <w:color w:val="000000"/>
        </w:rPr>
        <w:t xml:space="preserve">will ensure that </w:t>
      </w:r>
      <w:r w:rsidR="003D6B23">
        <w:rPr>
          <w:rFonts w:cs="Arial"/>
          <w:color w:val="000000"/>
        </w:rPr>
        <w:lastRenderedPageBreak/>
        <w:t xml:space="preserve">various line ministries adhere to contract loans from such creditors thereby </w:t>
      </w:r>
      <w:r w:rsidR="00EC6A69">
        <w:rPr>
          <w:rFonts w:cs="Arial"/>
          <w:color w:val="000000"/>
        </w:rPr>
        <w:t>closely aligning the financial structure of the new debt to MTDS target composition.</w:t>
      </w:r>
      <w:proofErr w:type="gramEnd"/>
      <w:r w:rsidR="00EC6A69">
        <w:rPr>
          <w:rFonts w:cs="Arial"/>
          <w:color w:val="000000"/>
        </w:rPr>
        <w:t xml:space="preserve"> To ensure that all loans </w:t>
      </w:r>
      <w:proofErr w:type="gramStart"/>
      <w:r w:rsidR="00EC6A69">
        <w:rPr>
          <w:rFonts w:cs="Arial"/>
          <w:color w:val="000000"/>
        </w:rPr>
        <w:t>are contracted</w:t>
      </w:r>
      <w:proofErr w:type="gramEnd"/>
      <w:r w:rsidR="00EC6A69">
        <w:rPr>
          <w:rFonts w:cs="Arial"/>
          <w:color w:val="000000"/>
        </w:rPr>
        <w:t xml:space="preserve"> with the preferred creditors, the final authority of approval of loan contraction should be centralized with the Minister of Finance.</w:t>
      </w:r>
    </w:p>
    <w:p w14:paraId="68A4D408" w14:textId="77777777" w:rsidR="00EC6A69" w:rsidRPr="009C00DC" w:rsidRDefault="00EC6A69" w:rsidP="009C00DC">
      <w:pPr>
        <w:pStyle w:val="ListParagraph"/>
        <w:ind w:left="360"/>
        <w:jc w:val="both"/>
      </w:pPr>
    </w:p>
    <w:p w14:paraId="641DA1A0" w14:textId="61D23196" w:rsidR="009545C3" w:rsidRPr="0018107B" w:rsidRDefault="00EC6A69" w:rsidP="006B3930">
      <w:pPr>
        <w:pStyle w:val="ListParagraph"/>
        <w:numPr>
          <w:ilvl w:val="0"/>
          <w:numId w:val="3"/>
        </w:numPr>
        <w:jc w:val="both"/>
      </w:pPr>
      <w:r>
        <w:rPr>
          <w:rFonts w:cs="Arial"/>
          <w:color w:val="000000"/>
        </w:rPr>
        <w:t xml:space="preserve">Similarly, there is a need to ensure that demand for project financing through external loans from various line ministries remains within the overall </w:t>
      </w:r>
      <w:r w:rsidR="000B23BF">
        <w:rPr>
          <w:rFonts w:cs="Arial"/>
          <w:color w:val="000000"/>
        </w:rPr>
        <w:t>cap of external loan. This would require establishing a close linkage of comprehensive prioritization of</w:t>
      </w:r>
      <w:r>
        <w:rPr>
          <w:rFonts w:cs="Arial"/>
          <w:color w:val="000000"/>
        </w:rPr>
        <w:t xml:space="preserve"> </w:t>
      </w:r>
      <w:r w:rsidR="000B23BF">
        <w:rPr>
          <w:rFonts w:cs="Arial"/>
          <w:color w:val="000000"/>
        </w:rPr>
        <w:t xml:space="preserve">projects in accordance with the national development plan within a multi-year framework with loan </w:t>
      </w:r>
      <w:proofErr w:type="gramStart"/>
      <w:r w:rsidR="000B23BF">
        <w:rPr>
          <w:rFonts w:cs="Arial"/>
          <w:color w:val="000000"/>
        </w:rPr>
        <w:t>contraction which</w:t>
      </w:r>
      <w:proofErr w:type="gramEnd"/>
      <w:r w:rsidR="000B23BF">
        <w:rPr>
          <w:rFonts w:cs="Arial"/>
          <w:color w:val="000000"/>
        </w:rPr>
        <w:t xml:space="preserve"> finances such projects. The involvement of the Ministry of Finance at the early stage of project financing proposals through external loans could ensure that decisions on various project financing </w:t>
      </w:r>
      <w:proofErr w:type="gramStart"/>
      <w:r w:rsidR="000B23BF">
        <w:rPr>
          <w:rFonts w:cs="Arial"/>
          <w:color w:val="000000"/>
        </w:rPr>
        <w:t>are made</w:t>
      </w:r>
      <w:proofErr w:type="gramEnd"/>
      <w:r w:rsidR="000B23BF">
        <w:rPr>
          <w:rFonts w:cs="Arial"/>
          <w:color w:val="000000"/>
        </w:rPr>
        <w:t xml:space="preserve"> in accordance with the national development priorities. By making it mandatory that all </w:t>
      </w:r>
      <w:proofErr w:type="gramStart"/>
      <w:r w:rsidR="000B23BF">
        <w:rPr>
          <w:rFonts w:cs="Arial"/>
          <w:color w:val="000000"/>
        </w:rPr>
        <w:t>project financing</w:t>
      </w:r>
      <w:proofErr w:type="gramEnd"/>
      <w:r w:rsidR="000B23BF">
        <w:rPr>
          <w:rFonts w:cs="Arial"/>
          <w:color w:val="000000"/>
        </w:rPr>
        <w:t xml:space="preserve"> proposals need to be submitted to the Ministry of Finance and processed by PDMD before consultation with potential creditors, the success of such arrangement will be enhanced. For project proposals which may not qualify </w:t>
      </w:r>
      <w:r w:rsidR="00C312CC">
        <w:rPr>
          <w:rFonts w:cs="Arial"/>
          <w:color w:val="000000"/>
        </w:rPr>
        <w:t xml:space="preserve">to be financed through an external loan in any year, </w:t>
      </w:r>
      <w:r w:rsidR="000B23BF">
        <w:rPr>
          <w:rFonts w:cs="Arial"/>
          <w:color w:val="000000"/>
        </w:rPr>
        <w:t xml:space="preserve">either due to </w:t>
      </w:r>
      <w:r w:rsidR="00C312CC">
        <w:rPr>
          <w:rFonts w:cs="Arial"/>
          <w:color w:val="000000"/>
        </w:rPr>
        <w:t xml:space="preserve">prioritization considerations or because of overall loans contracted approaching the cap, it could be placed in a que for consideration in the following year. At the same time, formulation of detailed guidelines for approving a project financed by loans based on economic viability and financial considerations would facilitate better selection of projects and loans. Another area where PDMD can play the role of a facilitator is to guide the line ministry for which the project has passed the viability test in securing a creditor.    </w:t>
      </w:r>
      <w:r w:rsidR="000B23BF">
        <w:rPr>
          <w:rFonts w:cs="Arial"/>
          <w:color w:val="000000"/>
        </w:rPr>
        <w:t xml:space="preserve"> </w:t>
      </w:r>
      <w:r>
        <w:rPr>
          <w:rFonts w:cs="Arial"/>
          <w:color w:val="000000"/>
        </w:rPr>
        <w:t xml:space="preserve">  </w:t>
      </w:r>
      <w:r w:rsidR="003D6B23">
        <w:rPr>
          <w:rFonts w:cs="Arial"/>
          <w:color w:val="000000"/>
        </w:rPr>
        <w:t xml:space="preserve">   </w:t>
      </w:r>
      <w:r w:rsidR="0052239C" w:rsidRPr="003D6B23">
        <w:rPr>
          <w:rFonts w:cs="Arial"/>
          <w:color w:val="000000"/>
        </w:rPr>
        <w:t xml:space="preserve"> </w:t>
      </w:r>
      <w:r w:rsidR="00212C1F" w:rsidRPr="003D6B23">
        <w:rPr>
          <w:rFonts w:cs="Arial"/>
          <w:color w:val="000000"/>
        </w:rPr>
        <w:t xml:space="preserve">  </w:t>
      </w:r>
    </w:p>
    <w:p w14:paraId="5FCE63C5" w14:textId="77777777" w:rsidR="009545C3" w:rsidRPr="00B46159" w:rsidRDefault="009545C3" w:rsidP="009545C3">
      <w:pPr>
        <w:pStyle w:val="ListParagraph"/>
        <w:ind w:left="360"/>
        <w:jc w:val="both"/>
      </w:pPr>
    </w:p>
    <w:p w14:paraId="0BD664F2" w14:textId="1CD24BD5" w:rsidR="009545C3" w:rsidRPr="007866B6" w:rsidRDefault="009545C3" w:rsidP="009545C3">
      <w:pPr>
        <w:pStyle w:val="ListParagraph"/>
        <w:numPr>
          <w:ilvl w:val="0"/>
          <w:numId w:val="3"/>
        </w:numPr>
        <w:jc w:val="both"/>
      </w:pPr>
      <w:r w:rsidRPr="00B47229">
        <w:rPr>
          <w:rFonts w:cs="Arial"/>
          <w:lang w:eastAsia="en-US"/>
        </w:rPr>
        <w:t xml:space="preserve">The Department of Management of Obligations to the State Budget of RA (DMOSB) is formally responsible for all functions related to preparation, issuance and monitoring of Government (state) guarantees and </w:t>
      </w:r>
      <w:proofErr w:type="gramStart"/>
      <w:r w:rsidRPr="00B47229">
        <w:rPr>
          <w:rFonts w:cs="Arial"/>
          <w:lang w:eastAsia="en-US"/>
        </w:rPr>
        <w:t>on-lending</w:t>
      </w:r>
      <w:proofErr w:type="gramEnd"/>
      <w:r w:rsidRPr="00B47229">
        <w:rPr>
          <w:rFonts w:cs="Arial"/>
          <w:lang w:eastAsia="en-US"/>
        </w:rPr>
        <w:t xml:space="preserve">. </w:t>
      </w:r>
      <w:r>
        <w:rPr>
          <w:rFonts w:cs="Arial"/>
          <w:lang w:eastAsia="en-US"/>
        </w:rPr>
        <w:t xml:space="preserve">However, credit risk analysis related to issuance of guarantees and </w:t>
      </w:r>
      <w:proofErr w:type="gramStart"/>
      <w:r>
        <w:rPr>
          <w:rFonts w:cs="Arial"/>
          <w:lang w:eastAsia="en-US"/>
        </w:rPr>
        <w:t>on-lending</w:t>
      </w:r>
      <w:proofErr w:type="gramEnd"/>
      <w:r>
        <w:rPr>
          <w:rFonts w:cs="Arial"/>
          <w:lang w:eastAsia="en-US"/>
        </w:rPr>
        <w:t xml:space="preserve"> is virtually non-existent and there is no capacity within DMOSB. The back and front office related functions take up most of the resources within DMOSB within their limited staff complement. Although the level of guarantees is low, it would be useful to initiate credit risk analytical functions at / in partnership with the Fiscal Risk Management Unit within the </w:t>
      </w:r>
      <w:proofErr w:type="gramStart"/>
      <w:r>
        <w:rPr>
          <w:rFonts w:cs="Arial"/>
          <w:lang w:eastAsia="en-US"/>
        </w:rPr>
        <w:t>MoF which</w:t>
      </w:r>
      <w:proofErr w:type="gramEnd"/>
      <w:r>
        <w:rPr>
          <w:rFonts w:cs="Arial"/>
          <w:lang w:eastAsia="en-US"/>
        </w:rPr>
        <w:t xml:space="preserve"> possess better knowledge about sectoral issues on the economy.</w:t>
      </w:r>
      <w:r w:rsidR="00C312CC">
        <w:rPr>
          <w:rFonts w:cs="Arial"/>
          <w:lang w:eastAsia="en-US"/>
        </w:rPr>
        <w:t xml:space="preserve"> It would be imperative for the MoF to formulate a policy guideline </w:t>
      </w:r>
      <w:r w:rsidR="00F85A80">
        <w:rPr>
          <w:rFonts w:cs="Arial"/>
          <w:lang w:eastAsia="en-US"/>
        </w:rPr>
        <w:t xml:space="preserve">based on which issuances of government guarantees and decisions on </w:t>
      </w:r>
      <w:proofErr w:type="gramStart"/>
      <w:r w:rsidR="00F85A80">
        <w:rPr>
          <w:rFonts w:cs="Arial"/>
          <w:lang w:eastAsia="en-US"/>
        </w:rPr>
        <w:t>on-lending</w:t>
      </w:r>
      <w:proofErr w:type="gramEnd"/>
      <w:r w:rsidR="00F85A80">
        <w:rPr>
          <w:rFonts w:cs="Arial"/>
          <w:lang w:eastAsia="en-US"/>
        </w:rPr>
        <w:t xml:space="preserve"> could be undertaken. Such policy framework should balance between risk considerations and development objectives.</w:t>
      </w:r>
    </w:p>
    <w:p w14:paraId="3AEB4C5D" w14:textId="77777777" w:rsidR="009545C3" w:rsidRPr="007866B6" w:rsidRDefault="009545C3" w:rsidP="009545C3">
      <w:pPr>
        <w:pStyle w:val="ListParagraph"/>
        <w:rPr>
          <w:rFonts w:cs="Arial"/>
          <w:lang w:eastAsia="en-US"/>
        </w:rPr>
      </w:pPr>
    </w:p>
    <w:p w14:paraId="6FDD6B51" w14:textId="77777777" w:rsidR="009545C3" w:rsidRPr="00F32702" w:rsidRDefault="009545C3" w:rsidP="009545C3">
      <w:pPr>
        <w:pStyle w:val="ListParagraph"/>
        <w:numPr>
          <w:ilvl w:val="0"/>
          <w:numId w:val="3"/>
        </w:numPr>
        <w:jc w:val="both"/>
      </w:pPr>
      <w:r w:rsidRPr="00F32702">
        <w:rPr>
          <w:rFonts w:cs="Arial"/>
          <w:lang w:eastAsia="en-US"/>
        </w:rPr>
        <w:t xml:space="preserve">As part of State Budget preparation, projected debt service payments for the following year </w:t>
      </w:r>
      <w:proofErr w:type="gramStart"/>
      <w:r w:rsidRPr="00F32702">
        <w:rPr>
          <w:rFonts w:cs="Arial"/>
          <w:lang w:eastAsia="en-US"/>
        </w:rPr>
        <w:t>are based</w:t>
      </w:r>
      <w:proofErr w:type="gramEnd"/>
      <w:r w:rsidRPr="00F32702">
        <w:rPr>
          <w:rFonts w:cs="Arial"/>
          <w:lang w:eastAsia="en-US"/>
        </w:rPr>
        <w:t xml:space="preserve"> on the prevailing exchange rates as on November of the preceding year of the Budget. Based on an agreement between the MoF and the CBA, the CBA externalizes payments on the external debt service payments based on the pre-agreed exchange rate (prevailing rates as on November </w:t>
      </w:r>
      <w:proofErr w:type="gramStart"/>
      <w:r w:rsidRPr="00F32702">
        <w:rPr>
          <w:rFonts w:cs="Arial"/>
          <w:lang w:eastAsia="en-US"/>
        </w:rPr>
        <w:t>preceding</w:t>
      </w:r>
      <w:proofErr w:type="gramEnd"/>
      <w:r w:rsidRPr="00F32702">
        <w:rPr>
          <w:rFonts w:cs="Arial"/>
          <w:lang w:eastAsia="en-US"/>
        </w:rPr>
        <w:t xml:space="preserve"> the Budget year). Deviation of actual exchange rates on the payment transaction date from the pre-agreed rate could lead to either profit or loss for the CBA. In case where the CBA incurs net losses</w:t>
      </w:r>
      <w:r>
        <w:rPr>
          <w:rFonts w:cs="Arial"/>
          <w:lang w:eastAsia="en-US"/>
        </w:rPr>
        <w:t xml:space="preserve"> over the budget year</w:t>
      </w:r>
      <w:r w:rsidRPr="00F32702">
        <w:rPr>
          <w:rFonts w:cs="Arial"/>
          <w:lang w:eastAsia="en-US"/>
        </w:rPr>
        <w:t xml:space="preserve">, </w:t>
      </w:r>
      <w:r w:rsidRPr="00F32702">
        <w:rPr>
          <w:rFonts w:cs="Arial"/>
          <w:color w:val="000000"/>
        </w:rPr>
        <w:t xml:space="preserve">promissory notes </w:t>
      </w:r>
      <w:proofErr w:type="gramStart"/>
      <w:r>
        <w:rPr>
          <w:rFonts w:cs="Arial"/>
          <w:color w:val="000000"/>
        </w:rPr>
        <w:t>are issued</w:t>
      </w:r>
      <w:proofErr w:type="gramEnd"/>
      <w:r>
        <w:rPr>
          <w:rFonts w:cs="Arial"/>
          <w:color w:val="000000"/>
        </w:rPr>
        <w:t xml:space="preserve"> </w:t>
      </w:r>
      <w:r w:rsidRPr="00F32702">
        <w:rPr>
          <w:rFonts w:cs="Arial"/>
          <w:color w:val="000000"/>
        </w:rPr>
        <w:t>to CBA</w:t>
      </w:r>
      <w:r>
        <w:rPr>
          <w:rFonts w:cs="Arial"/>
          <w:color w:val="000000"/>
        </w:rPr>
        <w:t xml:space="preserve">. In case of net </w:t>
      </w:r>
      <w:r w:rsidRPr="00F32702">
        <w:rPr>
          <w:rFonts w:cs="Arial"/>
          <w:color w:val="000000"/>
        </w:rPr>
        <w:t>profit</w:t>
      </w:r>
      <w:r>
        <w:rPr>
          <w:rFonts w:cs="Arial"/>
          <w:color w:val="000000"/>
        </w:rPr>
        <w:t xml:space="preserve">, such profits </w:t>
      </w:r>
      <w:r w:rsidRPr="00F32702">
        <w:rPr>
          <w:rFonts w:cs="Arial"/>
          <w:color w:val="000000"/>
        </w:rPr>
        <w:t>deducted from the outstanding promissory notes</w:t>
      </w:r>
      <w:r>
        <w:rPr>
          <w:rFonts w:cs="Arial"/>
          <w:color w:val="000000"/>
        </w:rPr>
        <w:t xml:space="preserve"> held by the CBA</w:t>
      </w:r>
      <w:r w:rsidRPr="00F32702">
        <w:rPr>
          <w:rFonts w:cs="Arial"/>
          <w:color w:val="000000"/>
        </w:rPr>
        <w:t xml:space="preserve">. The outstanding of such promissory notes </w:t>
      </w:r>
      <w:proofErr w:type="gramStart"/>
      <w:r w:rsidRPr="00F32702">
        <w:rPr>
          <w:rFonts w:cs="Arial"/>
          <w:color w:val="000000"/>
        </w:rPr>
        <w:t>is rolled over</w:t>
      </w:r>
      <w:proofErr w:type="gramEnd"/>
      <w:r w:rsidRPr="00F32702">
        <w:rPr>
          <w:rFonts w:cs="Arial"/>
          <w:color w:val="000000"/>
        </w:rPr>
        <w:t xml:space="preserve"> in November each year.</w:t>
      </w:r>
      <w:r>
        <w:rPr>
          <w:rFonts w:cs="Arial"/>
          <w:color w:val="000000"/>
        </w:rPr>
        <w:t xml:space="preserve"> </w:t>
      </w:r>
    </w:p>
    <w:p w14:paraId="1C6AF2F8" w14:textId="77777777" w:rsidR="009545C3" w:rsidRPr="00F32702" w:rsidRDefault="009545C3" w:rsidP="009545C3">
      <w:pPr>
        <w:pStyle w:val="ListParagraph"/>
        <w:rPr>
          <w:rFonts w:cs="Arial"/>
          <w:color w:val="000000"/>
        </w:rPr>
      </w:pPr>
    </w:p>
    <w:p w14:paraId="4DF7E757" w14:textId="77777777" w:rsidR="009545C3" w:rsidRPr="00B47229" w:rsidRDefault="009545C3" w:rsidP="009545C3">
      <w:pPr>
        <w:pStyle w:val="ListParagraph"/>
        <w:numPr>
          <w:ilvl w:val="0"/>
          <w:numId w:val="3"/>
        </w:numPr>
        <w:jc w:val="both"/>
      </w:pPr>
      <w:r>
        <w:rPr>
          <w:rFonts w:cs="Arial"/>
          <w:color w:val="000000"/>
        </w:rPr>
        <w:t xml:space="preserve">It is recommended to change this practice whereby the MoF projects exchange rate as part of its budgetary </w:t>
      </w:r>
      <w:proofErr w:type="gramStart"/>
      <w:r>
        <w:rPr>
          <w:rFonts w:cs="Arial"/>
          <w:color w:val="000000"/>
        </w:rPr>
        <w:t>process which</w:t>
      </w:r>
      <w:proofErr w:type="gramEnd"/>
      <w:r>
        <w:rPr>
          <w:rFonts w:cs="Arial"/>
          <w:color w:val="000000"/>
        </w:rPr>
        <w:t xml:space="preserve"> is realistic. Externalization of debt service payments made by the CBA </w:t>
      </w:r>
      <w:proofErr w:type="gramStart"/>
      <w:r>
        <w:rPr>
          <w:rFonts w:cs="Arial"/>
          <w:color w:val="000000"/>
        </w:rPr>
        <w:t>should be based</w:t>
      </w:r>
      <w:proofErr w:type="gramEnd"/>
      <w:r>
        <w:rPr>
          <w:rFonts w:cs="Arial"/>
          <w:color w:val="000000"/>
        </w:rPr>
        <w:t xml:space="preserve"> on market prevailing rates. For this purpose, the MoF would be required to make some provision for exchange rate changes beyond their projected rates in </w:t>
      </w:r>
      <w:r>
        <w:rPr>
          <w:rFonts w:cs="Arial"/>
          <w:color w:val="000000"/>
        </w:rPr>
        <w:lastRenderedPageBreak/>
        <w:t xml:space="preserve">case its deviates from the actual rates. This would be a more transparent </w:t>
      </w:r>
      <w:proofErr w:type="gramStart"/>
      <w:r>
        <w:rPr>
          <w:rFonts w:cs="Arial"/>
          <w:color w:val="000000"/>
        </w:rPr>
        <w:t>process and make the debt service projections more credible</w:t>
      </w:r>
      <w:proofErr w:type="gramEnd"/>
      <w:r>
        <w:rPr>
          <w:rFonts w:cs="Arial"/>
          <w:color w:val="000000"/>
        </w:rPr>
        <w:t xml:space="preserve"> and support better planning for debt management purpose. </w:t>
      </w:r>
      <w:r w:rsidRPr="00F32702">
        <w:rPr>
          <w:rFonts w:cs="Arial"/>
          <w:lang w:eastAsia="en-US"/>
        </w:rPr>
        <w:t xml:space="preserve">  </w:t>
      </w:r>
    </w:p>
    <w:p w14:paraId="3A72C6E1" w14:textId="77777777" w:rsidR="009545C3" w:rsidRPr="00846BED" w:rsidRDefault="009545C3" w:rsidP="009545C3">
      <w:pPr>
        <w:jc w:val="both"/>
      </w:pPr>
    </w:p>
    <w:p w14:paraId="60446A25" w14:textId="77777777" w:rsidR="009545C3" w:rsidRDefault="009545C3" w:rsidP="009545C3">
      <w:pPr>
        <w:pStyle w:val="ListParagraph"/>
        <w:rPr>
          <w:rFonts w:cs="Arial"/>
          <w:b/>
        </w:rPr>
      </w:pPr>
    </w:p>
    <w:p w14:paraId="3BA9076D" w14:textId="77777777" w:rsidR="009545C3" w:rsidRDefault="009545C3" w:rsidP="00466D0E">
      <w:pPr>
        <w:pStyle w:val="Topic2"/>
      </w:pPr>
      <w:bookmarkStart w:id="21" w:name="_Toc506537594"/>
      <w:r>
        <w:t>Operational Risk Management</w:t>
      </w:r>
      <w:bookmarkEnd w:id="21"/>
    </w:p>
    <w:p w14:paraId="5E8EAF59" w14:textId="77777777" w:rsidR="009545C3" w:rsidRDefault="009545C3" w:rsidP="009545C3">
      <w:pPr>
        <w:rPr>
          <w:rFonts w:cs="Arial"/>
          <w:b/>
        </w:rPr>
      </w:pPr>
    </w:p>
    <w:p w14:paraId="22E9BF80" w14:textId="77777777" w:rsidR="009545C3" w:rsidRDefault="009545C3" w:rsidP="009545C3">
      <w:pPr>
        <w:pStyle w:val="ListParagraph"/>
        <w:numPr>
          <w:ilvl w:val="0"/>
          <w:numId w:val="3"/>
        </w:numPr>
        <w:jc w:val="both"/>
      </w:pPr>
      <w:r>
        <w:t xml:space="preserve">A key operational risk that exists in the PDMD is the existing practice of the back office in PDMD making debt service payments on domestic debt by the same official who is responsible for recording of the obligation and for effecting payment instructions. The lack of separation of such front and back office roles could be a potential for key operational risk related to frauds. As such, at the minimum, it </w:t>
      </w:r>
      <w:proofErr w:type="gramStart"/>
      <w:r>
        <w:t>is recommended</w:t>
      </w:r>
      <w:proofErr w:type="gramEnd"/>
      <w:r>
        <w:t xml:space="preserve"> to assign different personnel for these two distinct activities.</w:t>
      </w:r>
    </w:p>
    <w:p w14:paraId="7C6466FD" w14:textId="77777777" w:rsidR="009545C3" w:rsidRDefault="009545C3" w:rsidP="009545C3">
      <w:pPr>
        <w:pStyle w:val="ListParagraph"/>
        <w:ind w:left="360"/>
        <w:jc w:val="both"/>
      </w:pPr>
    </w:p>
    <w:p w14:paraId="056A208B" w14:textId="77777777" w:rsidR="009545C3" w:rsidRDefault="009545C3" w:rsidP="009545C3">
      <w:pPr>
        <w:pStyle w:val="ListParagraph"/>
        <w:numPr>
          <w:ilvl w:val="0"/>
          <w:numId w:val="3"/>
        </w:numPr>
        <w:jc w:val="both"/>
      </w:pPr>
      <w:r>
        <w:t xml:space="preserve">Maintaining all debt recording data within an excel spreadsheet is another potential source of operational risk with the possibility of human error or tampering, intended or otherwise. The use of the DMFAS system within PDMD </w:t>
      </w:r>
      <w:proofErr w:type="gramStart"/>
      <w:r>
        <w:t>has been stopped</w:t>
      </w:r>
      <w:proofErr w:type="gramEnd"/>
      <w:r>
        <w:t xml:space="preserve"> and the authorities have recently started the process of building external debt data in the DMFAS system. It would be essential to </w:t>
      </w:r>
      <w:proofErr w:type="gramStart"/>
      <w:r>
        <w:t>migrate</w:t>
      </w:r>
      <w:proofErr w:type="gramEnd"/>
      <w:r>
        <w:t xml:space="preserve"> all debt data records in the DMFAS system, with a phased approach whereby external debt data could be recorded in the first instance on a loan-by-loan basis. Subsequently, domestic debt data on an instrument basis (not bid basis) </w:t>
      </w:r>
      <w:proofErr w:type="gramStart"/>
      <w:r>
        <w:t>could be recorded</w:t>
      </w:r>
      <w:proofErr w:type="gramEnd"/>
      <w:r>
        <w:t xml:space="preserve"> in the DMFAS system by developing an electronic interface between the depository system and DMFAS system.    </w:t>
      </w:r>
    </w:p>
    <w:p w14:paraId="536F2679" w14:textId="77777777" w:rsidR="009545C3" w:rsidRDefault="009545C3" w:rsidP="009545C3">
      <w:pPr>
        <w:pStyle w:val="ListParagraph"/>
      </w:pPr>
    </w:p>
    <w:p w14:paraId="6A23CFB7" w14:textId="77777777" w:rsidR="009545C3" w:rsidRPr="00B47229" w:rsidRDefault="009545C3" w:rsidP="009545C3">
      <w:pPr>
        <w:pStyle w:val="ListParagraph"/>
        <w:numPr>
          <w:ilvl w:val="0"/>
          <w:numId w:val="3"/>
        </w:numPr>
        <w:jc w:val="both"/>
      </w:pPr>
      <w:proofErr w:type="gramStart"/>
      <w:r>
        <w:rPr>
          <w:rFonts w:cs="Arial"/>
          <w:color w:val="000000"/>
        </w:rPr>
        <w:t>Other sources of operational risks relate to insufficient business continuity plan related to absence of remote back up of debt data and other records in an electronic format, ideally on a daily basis; keeping loan agreements and other important documents in a fire safe storage; alternative plan to deal with major IT failure or natural disaster that can disrupt debt management operations for a protracted period.</w:t>
      </w:r>
      <w:proofErr w:type="gramEnd"/>
      <w:r>
        <w:rPr>
          <w:rFonts w:cs="Arial"/>
          <w:color w:val="000000"/>
        </w:rPr>
        <w:t xml:space="preserve">    </w:t>
      </w:r>
      <w:r w:rsidRPr="00F32702">
        <w:rPr>
          <w:rFonts w:cs="Arial"/>
          <w:lang w:eastAsia="en-US"/>
        </w:rPr>
        <w:t xml:space="preserve">  </w:t>
      </w:r>
    </w:p>
    <w:p w14:paraId="7AE47E90" w14:textId="77777777" w:rsidR="009545C3" w:rsidRPr="00846BED" w:rsidRDefault="009545C3" w:rsidP="009545C3">
      <w:pPr>
        <w:jc w:val="both"/>
      </w:pPr>
    </w:p>
    <w:p w14:paraId="2AD84769" w14:textId="77777777" w:rsidR="009545C3" w:rsidRPr="00200ED4" w:rsidRDefault="009545C3" w:rsidP="009545C3">
      <w:pPr>
        <w:jc w:val="both"/>
      </w:pPr>
    </w:p>
    <w:p w14:paraId="46384C9A" w14:textId="688BCB7A" w:rsidR="009545C3" w:rsidRDefault="00BD7130" w:rsidP="00466D0E">
      <w:pPr>
        <w:pStyle w:val="Topic1"/>
      </w:pPr>
      <w:r>
        <w:t>EUROBOND RELATED REDEMPTION CHALLENGES</w:t>
      </w:r>
    </w:p>
    <w:p w14:paraId="6E93B7EB" w14:textId="3E60BD13" w:rsidR="00BD7130" w:rsidRDefault="00BD7130" w:rsidP="00BD7130">
      <w:pPr>
        <w:pStyle w:val="Topic1"/>
        <w:numPr>
          <w:ilvl w:val="0"/>
          <w:numId w:val="0"/>
        </w:numPr>
        <w:ind w:left="720"/>
        <w:jc w:val="left"/>
      </w:pPr>
    </w:p>
    <w:p w14:paraId="78D18168" w14:textId="1C668A96" w:rsidR="00A20EF2" w:rsidRDefault="00A20EF2" w:rsidP="009C00DC">
      <w:pPr>
        <w:pStyle w:val="ListParagraph"/>
        <w:numPr>
          <w:ilvl w:val="0"/>
          <w:numId w:val="3"/>
        </w:numPr>
        <w:jc w:val="both"/>
      </w:pPr>
      <w:proofErr w:type="gramStart"/>
      <w:r w:rsidRPr="00A20EF2">
        <w:rPr>
          <w:b/>
        </w:rPr>
        <w:t>Issue.</w:t>
      </w:r>
      <w:proofErr w:type="gramEnd"/>
      <w:r>
        <w:t xml:space="preserve"> The two past Eurobond issuances of the Republic of Armenia will pose important redemption challenges in September 2020 (with a bullet repayment of $500.1m, in addition to the annual coupon of about $30m [6%]) and in March 2025 (with a bullet repayment of $500m, in addition to the annual coupon of 35.8m [7.15%]): </w:t>
      </w:r>
    </w:p>
    <w:p w14:paraId="185E5996" w14:textId="77777777" w:rsidR="00A20EF2" w:rsidRDefault="00A20EF2" w:rsidP="00A20EF2">
      <w:pPr>
        <w:pStyle w:val="ListParagraph"/>
        <w:numPr>
          <w:ilvl w:val="0"/>
          <w:numId w:val="43"/>
        </w:numPr>
        <w:spacing w:after="200" w:line="276" w:lineRule="auto"/>
        <w:jc w:val="both"/>
      </w:pPr>
      <w:r>
        <w:t>These are significant volumes in the context of Armenia’s current timeline for public debt repayment, and their foreign currency denomination adds to the country’s significant sovereign exposure to exchange-rate risk.</w:t>
      </w:r>
    </w:p>
    <w:p w14:paraId="769F8B0F" w14:textId="77777777" w:rsidR="00A20EF2" w:rsidRDefault="00A20EF2" w:rsidP="00A20EF2">
      <w:pPr>
        <w:pStyle w:val="ListParagraph"/>
        <w:numPr>
          <w:ilvl w:val="0"/>
          <w:numId w:val="43"/>
        </w:numPr>
        <w:spacing w:after="200" w:line="276" w:lineRule="auto"/>
        <w:jc w:val="both"/>
      </w:pPr>
      <w:r>
        <w:t xml:space="preserve">The current account deficit </w:t>
      </w:r>
      <w:proofErr w:type="gramStart"/>
      <w:r>
        <w:t>is expected</w:t>
      </w:r>
      <w:proofErr w:type="gramEnd"/>
      <w:r>
        <w:t xml:space="preserve"> to widen by 0.8 percent of GDP (to $375m and $381m in 2018 and 2019 respectively) amid general weakness expected in foreign investment.</w:t>
      </w:r>
    </w:p>
    <w:p w14:paraId="61A6A7CC" w14:textId="77777777" w:rsidR="00A20EF2" w:rsidRDefault="00A20EF2" w:rsidP="00A20EF2">
      <w:pPr>
        <w:pStyle w:val="ListParagraph"/>
        <w:numPr>
          <w:ilvl w:val="0"/>
          <w:numId w:val="43"/>
        </w:numPr>
        <w:spacing w:after="200" w:line="276" w:lineRule="auto"/>
        <w:jc w:val="both"/>
      </w:pPr>
      <w:r>
        <w:t>Redemption of Eurobond in September 2020 of $500.1m comprises one-third of the net foreign currency assets in 2017</w:t>
      </w:r>
      <w:r>
        <w:rPr>
          <w:rStyle w:val="FootnoteReference"/>
        </w:rPr>
        <w:footnoteReference w:id="25"/>
      </w:r>
      <w:r>
        <w:t>.</w:t>
      </w:r>
    </w:p>
    <w:p w14:paraId="26807199" w14:textId="77777777" w:rsidR="00A20EF2" w:rsidRDefault="00A20EF2" w:rsidP="00A20EF2">
      <w:pPr>
        <w:pStyle w:val="ListParagraph"/>
        <w:numPr>
          <w:ilvl w:val="0"/>
          <w:numId w:val="43"/>
        </w:numPr>
        <w:spacing w:after="200" w:line="276" w:lineRule="auto"/>
        <w:jc w:val="both"/>
      </w:pPr>
      <w:r>
        <w:lastRenderedPageBreak/>
        <w:t>There is a risk that the anticipated three quarter-point hikes in US interest rates in 2018 could be fast paced, leading to hardening of yields for emerging market bonds, reversal of international capital flows and exchange rate volatility.</w:t>
      </w:r>
    </w:p>
    <w:p w14:paraId="01060EEA" w14:textId="77777777" w:rsidR="00A20EF2" w:rsidRDefault="00A20EF2" w:rsidP="00A20EF2">
      <w:pPr>
        <w:pStyle w:val="Topic1"/>
        <w:numPr>
          <w:ilvl w:val="0"/>
          <w:numId w:val="0"/>
        </w:numPr>
        <w:ind w:left="720"/>
        <w:jc w:val="left"/>
      </w:pPr>
    </w:p>
    <w:p w14:paraId="69A7B2CC" w14:textId="0AF6D602" w:rsidR="00A20EF2" w:rsidRPr="001916FE" w:rsidRDefault="00A20EF2" w:rsidP="009C00DC">
      <w:pPr>
        <w:pStyle w:val="ListParagraph"/>
        <w:numPr>
          <w:ilvl w:val="0"/>
          <w:numId w:val="3"/>
        </w:numPr>
        <w:jc w:val="both"/>
        <w:rPr>
          <w:rFonts w:cs="Arial"/>
        </w:rPr>
      </w:pPr>
      <w:proofErr w:type="gramStart"/>
      <w:r w:rsidRPr="00A20EF2">
        <w:rPr>
          <w:rFonts w:cs="Arial"/>
          <w:b/>
        </w:rPr>
        <w:t>Fundamental Challenge.</w:t>
      </w:r>
      <w:proofErr w:type="gramEnd"/>
      <w:r w:rsidRPr="00A20EF2">
        <w:rPr>
          <w:rFonts w:cs="Arial"/>
        </w:rPr>
        <w:t xml:space="preserve"> This and other public debt management issues must be assessed in the context of Armenia’s public debt management </w:t>
      </w:r>
      <w:r w:rsidRPr="00164E21">
        <w:rPr>
          <w:rFonts w:cs="Arial"/>
        </w:rPr>
        <w:t xml:space="preserve">strategy as a whole, i.e. with a holistic approach to the balance of risks that is imposed by the (i) country’s current public debt </w:t>
      </w:r>
      <w:r w:rsidRPr="00B012CF">
        <w:rPr>
          <w:rFonts w:cs="Arial"/>
        </w:rPr>
        <w:t xml:space="preserve">structure (currency denomination, level of concessionality, maturity profiles, etc.) and the (ii) trade-offs implied in the choices available for the way forward: </w:t>
      </w:r>
    </w:p>
    <w:p w14:paraId="61832EE6" w14:textId="77777777" w:rsidR="00A20EF2" w:rsidRPr="00A20EF2" w:rsidRDefault="00A20EF2" w:rsidP="00A20EF2">
      <w:pPr>
        <w:pStyle w:val="ListParagraph"/>
        <w:numPr>
          <w:ilvl w:val="0"/>
          <w:numId w:val="33"/>
        </w:numPr>
        <w:spacing w:after="200" w:line="276" w:lineRule="auto"/>
        <w:jc w:val="both"/>
        <w:rPr>
          <w:rFonts w:cs="Arial"/>
        </w:rPr>
      </w:pPr>
      <w:r w:rsidRPr="00212C1F">
        <w:rPr>
          <w:rFonts w:cs="Arial"/>
        </w:rPr>
        <w:t>Armenia’s public debt portfolio is currently highly exposed to exchange-rate risk, and concessional (and long-term) windows for sovereign borrowing in foreign currency are becoming less available to the country.</w:t>
      </w:r>
      <w:r w:rsidRPr="009C00DC">
        <w:rPr>
          <w:rFonts w:cs="Arial"/>
          <w:lang w:val="en-GB"/>
        </w:rPr>
        <w:t xml:space="preserve"> Consequently, the Armenian sovereign Eurobonds </w:t>
      </w:r>
      <w:proofErr w:type="gramStart"/>
      <w:r w:rsidRPr="009C00DC">
        <w:rPr>
          <w:rFonts w:cs="Arial"/>
          <w:lang w:val="en-GB"/>
        </w:rPr>
        <w:t>are rated</w:t>
      </w:r>
      <w:proofErr w:type="gramEnd"/>
      <w:r w:rsidRPr="009C00DC">
        <w:rPr>
          <w:rFonts w:cs="Arial"/>
          <w:lang w:val="en-GB"/>
        </w:rPr>
        <w:t xml:space="preserve"> as "highly speculative," revealing the international bond market's concerns regarding fiscal policy and risks.</w:t>
      </w:r>
      <w:r w:rsidRPr="009C00DC">
        <w:rPr>
          <w:rStyle w:val="FootnoteReference"/>
          <w:rFonts w:cs="Arial"/>
          <w:lang w:val="en-GB"/>
        </w:rPr>
        <w:footnoteReference w:id="26"/>
      </w:r>
    </w:p>
    <w:p w14:paraId="00AB11E3" w14:textId="77777777" w:rsidR="00A20EF2" w:rsidRPr="00A20EF2" w:rsidRDefault="00A20EF2" w:rsidP="00A20EF2">
      <w:pPr>
        <w:pStyle w:val="ListParagraph"/>
        <w:numPr>
          <w:ilvl w:val="0"/>
          <w:numId w:val="33"/>
        </w:numPr>
        <w:autoSpaceDE w:val="0"/>
        <w:autoSpaceDN w:val="0"/>
        <w:adjustRightInd w:val="0"/>
        <w:spacing w:after="200" w:line="276" w:lineRule="auto"/>
        <w:jc w:val="both"/>
        <w:rPr>
          <w:rFonts w:cs="Arial"/>
        </w:rPr>
      </w:pPr>
      <w:r w:rsidRPr="009C00DC">
        <w:rPr>
          <w:rFonts w:cs="Arial"/>
          <w:lang w:val="en-GB"/>
        </w:rPr>
        <w:t>As the high share of foreign currency debt is a growing source of vulnerability, charting a gradual reduction in this foreign currency exposure must be a guiding pillar of Armenia’s medium term debt strategy and actions. On the other hand, increasing reliance on domestic debt issuance and non-concessional financing might, progressively, put upwards pressure on interest payments,</w:t>
      </w:r>
      <w:r w:rsidRPr="009C00DC">
        <w:rPr>
          <w:rStyle w:val="FootnoteReference"/>
          <w:rFonts w:cs="Arial"/>
          <w:lang w:val="en-GB"/>
        </w:rPr>
        <w:footnoteReference w:id="27"/>
      </w:r>
      <w:r w:rsidRPr="009C00DC">
        <w:rPr>
          <w:rFonts w:cs="Arial"/>
          <w:lang w:val="en-GB"/>
        </w:rPr>
        <w:t xml:space="preserve"> and </w:t>
      </w:r>
      <w:proofErr w:type="gramStart"/>
      <w:r w:rsidRPr="009C00DC">
        <w:rPr>
          <w:rFonts w:cs="Arial"/>
          <w:lang w:val="en-GB"/>
        </w:rPr>
        <w:t>increase refinancing</w:t>
      </w:r>
      <w:proofErr w:type="gramEnd"/>
      <w:r w:rsidRPr="009C00DC">
        <w:rPr>
          <w:rFonts w:cs="Arial"/>
          <w:lang w:val="en-GB"/>
        </w:rPr>
        <w:t xml:space="preserve"> risks through relatively shorter maturities (compared with what has been available till now) and the bullet structures of new Eurobond issuances.</w:t>
      </w:r>
    </w:p>
    <w:p w14:paraId="3DD9ED42" w14:textId="77777777" w:rsidR="00A20EF2" w:rsidRPr="00A20EF2" w:rsidRDefault="00A20EF2" w:rsidP="00A20EF2">
      <w:pPr>
        <w:pStyle w:val="ListParagraph"/>
        <w:numPr>
          <w:ilvl w:val="0"/>
          <w:numId w:val="33"/>
        </w:numPr>
        <w:autoSpaceDE w:val="0"/>
        <w:autoSpaceDN w:val="0"/>
        <w:adjustRightInd w:val="0"/>
        <w:spacing w:after="200" w:line="276" w:lineRule="auto"/>
        <w:jc w:val="both"/>
        <w:rPr>
          <w:rFonts w:cs="Arial"/>
        </w:rPr>
      </w:pPr>
      <w:r w:rsidRPr="00164E21">
        <w:rPr>
          <w:rFonts w:cs="Arial"/>
        </w:rPr>
        <w:t xml:space="preserve">The two past Eurobond issuances listed in the Dublin Exchange might have aimed to establish a sovereign benchmark for Armenia in the international market. However, its benefit </w:t>
      </w:r>
      <w:r w:rsidRPr="00B012CF">
        <w:rPr>
          <w:rFonts w:cs="Arial"/>
        </w:rPr>
        <w:t xml:space="preserve">as a pricing benchmark for non-sovereign Armenian issuances has arguably been very limited. This experience and an assessment of such past policy direction should inform decisions going forward </w:t>
      </w:r>
      <w:proofErr w:type="gramStart"/>
      <w:r w:rsidRPr="00B012CF">
        <w:rPr>
          <w:rFonts w:cs="Arial"/>
        </w:rPr>
        <w:t>with regards to</w:t>
      </w:r>
      <w:proofErr w:type="gramEnd"/>
      <w:r w:rsidRPr="00B012CF">
        <w:rPr>
          <w:rFonts w:cs="Arial"/>
        </w:rPr>
        <w:t xml:space="preserve"> new Eurobond issuance</w:t>
      </w:r>
      <w:r w:rsidRPr="001916FE">
        <w:rPr>
          <w:rFonts w:cs="Arial"/>
        </w:rPr>
        <w:t xml:space="preserve"> plans.</w:t>
      </w:r>
      <w:r w:rsidRPr="00A20EF2">
        <w:rPr>
          <w:rStyle w:val="FootnoteReference"/>
          <w:rFonts w:cs="Arial"/>
        </w:rPr>
        <w:footnoteReference w:id="28"/>
      </w:r>
      <w:r w:rsidRPr="00A20EF2">
        <w:rPr>
          <w:rFonts w:cs="Arial"/>
        </w:rPr>
        <w:t xml:space="preserve"> </w:t>
      </w:r>
    </w:p>
    <w:p w14:paraId="6C6FD4DE" w14:textId="77777777" w:rsidR="00A20EF2" w:rsidRPr="00164E21" w:rsidRDefault="00A20EF2" w:rsidP="00A20EF2">
      <w:pPr>
        <w:pStyle w:val="ListParagraph"/>
        <w:numPr>
          <w:ilvl w:val="0"/>
          <w:numId w:val="33"/>
        </w:numPr>
        <w:spacing w:after="200" w:line="276" w:lineRule="auto"/>
        <w:jc w:val="both"/>
        <w:rPr>
          <w:rFonts w:cs="Arial"/>
        </w:rPr>
      </w:pPr>
      <w:r w:rsidRPr="00164E21">
        <w:rPr>
          <w:rFonts w:cs="Arial"/>
        </w:rPr>
        <w:t>Local debt markets in AMD are still nascent (liquidity premiums are very high), and the term structure is still not underpinned by effective intertemporal arbitrage by market participants and CBA’s systemic liquidity management.</w:t>
      </w:r>
      <w:r w:rsidRPr="00A20EF2">
        <w:rPr>
          <w:rStyle w:val="FootnoteReference"/>
          <w:rFonts w:cs="Arial"/>
        </w:rPr>
        <w:footnoteReference w:id="29"/>
      </w:r>
      <w:r w:rsidRPr="00A20EF2">
        <w:rPr>
          <w:rFonts w:cs="Arial"/>
        </w:rPr>
        <w:t xml:space="preserve"> Instead, the “yield curve” is very steep, a reflection</w:t>
      </w:r>
      <w:r w:rsidRPr="00164E21">
        <w:rPr>
          <w:rFonts w:cs="Arial"/>
        </w:rPr>
        <w:t xml:space="preserve">, in several ways, of (i) the fragmented structure of local-currency Govt securities and (ii) currency depreciation expectations and views about the role of the </w:t>
      </w:r>
      <w:proofErr w:type="gramStart"/>
      <w:r w:rsidRPr="00164E21">
        <w:rPr>
          <w:rFonts w:cs="Arial"/>
        </w:rPr>
        <w:t>exchange-rate</w:t>
      </w:r>
      <w:proofErr w:type="gramEnd"/>
      <w:r w:rsidRPr="00164E21">
        <w:rPr>
          <w:rFonts w:cs="Arial"/>
        </w:rPr>
        <w:t xml:space="preserve"> in CBA’s policy rate decisions. </w:t>
      </w:r>
    </w:p>
    <w:p w14:paraId="1946306D" w14:textId="0BC4E0E6" w:rsidR="00A20EF2" w:rsidRDefault="00A20EF2" w:rsidP="00A20EF2">
      <w:pPr>
        <w:pStyle w:val="ListParagraph"/>
        <w:jc w:val="both"/>
      </w:pPr>
    </w:p>
    <w:p w14:paraId="34BC8F1A" w14:textId="06913E7C" w:rsidR="00A20EF2" w:rsidRDefault="00A20EF2" w:rsidP="009C00DC">
      <w:pPr>
        <w:pStyle w:val="ListParagraph"/>
        <w:numPr>
          <w:ilvl w:val="0"/>
          <w:numId w:val="3"/>
        </w:numPr>
        <w:jc w:val="both"/>
      </w:pPr>
      <w:r>
        <w:t xml:space="preserve">Thus, even though local debt markets in AMD are nascent, with the current cost implications highlighted above, the development of Govt debt and money markets must be an absolute financial policy priority at this stage. This is so, so that the liquidity and term premiums now </w:t>
      </w:r>
      <w:r>
        <w:lastRenderedPageBreak/>
        <w:t xml:space="preserve">faced in Govt AMD financing </w:t>
      </w:r>
      <w:proofErr w:type="gramStart"/>
      <w:r>
        <w:t>can be reduced</w:t>
      </w:r>
      <w:proofErr w:type="gramEnd"/>
      <w:r>
        <w:t xml:space="preserve"> going forward. In this context, solutions to address the two steep redemption challenges posed by past Eurobond issuances must fit within the guiding strategy for Armenia’s public debt management and macro-fiscal strategies going forward, and should have the following objectives: </w:t>
      </w:r>
    </w:p>
    <w:p w14:paraId="40CAB98D" w14:textId="77777777" w:rsidR="00A20EF2" w:rsidRDefault="00A20EF2" w:rsidP="00A20EF2">
      <w:pPr>
        <w:pStyle w:val="ListParagraph"/>
        <w:numPr>
          <w:ilvl w:val="0"/>
          <w:numId w:val="44"/>
        </w:numPr>
        <w:spacing w:after="200" w:line="276" w:lineRule="auto"/>
        <w:jc w:val="both"/>
      </w:pPr>
      <w:r>
        <w:t xml:space="preserve">gradually reduce the exposure to exchange-rate risks and </w:t>
      </w:r>
    </w:p>
    <w:p w14:paraId="3C3D3FA6" w14:textId="77777777" w:rsidR="00A20EF2" w:rsidRDefault="00A20EF2" w:rsidP="00A20EF2">
      <w:pPr>
        <w:pStyle w:val="ListParagraph"/>
        <w:numPr>
          <w:ilvl w:val="0"/>
          <w:numId w:val="44"/>
        </w:numPr>
        <w:spacing w:after="200" w:line="276" w:lineRule="auto"/>
        <w:jc w:val="both"/>
      </w:pPr>
      <w:proofErr w:type="gramStart"/>
      <w:r>
        <w:t>develop</w:t>
      </w:r>
      <w:proofErr w:type="gramEnd"/>
      <w:r>
        <w:t xml:space="preserve"> local debt markets in AMD to reduce liquidity premiums along the yield curve and strike a more optimal public debt time profile (balancing cost implications of the term premium against refinancing risks).</w:t>
      </w:r>
    </w:p>
    <w:p w14:paraId="31D438D0" w14:textId="77777777" w:rsidR="00D80B9F" w:rsidRDefault="00D80B9F" w:rsidP="00D80B9F">
      <w:pPr>
        <w:pStyle w:val="ListParagraph"/>
        <w:jc w:val="both"/>
      </w:pPr>
    </w:p>
    <w:p w14:paraId="14BF8C96" w14:textId="063955C7" w:rsidR="00A20EF2" w:rsidRDefault="00A20EF2" w:rsidP="009C00DC">
      <w:pPr>
        <w:pStyle w:val="ListParagraph"/>
        <w:numPr>
          <w:ilvl w:val="0"/>
          <w:numId w:val="3"/>
        </w:numPr>
        <w:jc w:val="both"/>
      </w:pPr>
      <w:proofErr w:type="gramStart"/>
      <w:r w:rsidRPr="00C85861">
        <w:rPr>
          <w:b/>
        </w:rPr>
        <w:t>Options.</w:t>
      </w:r>
      <w:proofErr w:type="gramEnd"/>
      <w:r>
        <w:t xml:space="preserve"> As part of ADB</w:t>
      </w:r>
      <w:proofErr w:type="gramStart"/>
      <w:r>
        <w:t>’s ongoing TA support to the Public Debt Management Department (in the context of ADB’s Public Efficiency and Financial Markets Development Program), a set of choices can be worked</w:t>
      </w:r>
      <w:proofErr w:type="gramEnd"/>
      <w:r>
        <w:t xml:space="preserve"> further into Armenia’s public debt management strategy going forward.</w:t>
      </w:r>
      <w:r>
        <w:rPr>
          <w:b/>
        </w:rPr>
        <w:t xml:space="preserve"> </w:t>
      </w:r>
      <w:r>
        <w:t xml:space="preserve">Assuming that no further benchmarking value </w:t>
      </w:r>
      <w:proofErr w:type="gramStart"/>
      <w:r>
        <w:t>is recognized</w:t>
      </w:r>
      <w:proofErr w:type="gramEnd"/>
      <w:r>
        <w:t xml:space="preserve"> in maintaining sovereign Eurobonds outstanding in international markets, the objective should be to gradually retire the maturing $1.1 billion of debt. For illustration purposes, one can imagine a broad variety of options:</w:t>
      </w:r>
    </w:p>
    <w:p w14:paraId="503C2C74" w14:textId="77777777" w:rsidR="00164E21" w:rsidRDefault="00164E21" w:rsidP="00164E21">
      <w:pPr>
        <w:spacing w:after="200" w:line="276" w:lineRule="auto"/>
        <w:ind w:left="360"/>
        <w:jc w:val="both"/>
      </w:pPr>
      <w:r>
        <w:t>a.</w:t>
      </w:r>
      <w:r>
        <w:tab/>
      </w:r>
      <w:r w:rsidR="00A20EF2">
        <w:t>A compact of dedicated program loans from IFIs,</w:t>
      </w:r>
      <w:r w:rsidR="00A20EF2">
        <w:rPr>
          <w:rStyle w:val="FootnoteReference"/>
        </w:rPr>
        <w:footnoteReference w:id="30"/>
      </w:r>
      <w:r w:rsidR="00A20EF2">
        <w:t xml:space="preserve"> underpinned by a sustained objective of buying back outstanding Eurobonds from the market over a x-year period, thus replacing short-term bullet debt structures (which impose stark and rigid redemption challenges) with long-term, foreign currency, highly concessional debt;</w:t>
      </w:r>
      <w:r w:rsidR="00A20EF2">
        <w:rPr>
          <w:rStyle w:val="FootnoteReference"/>
        </w:rPr>
        <w:footnoteReference w:id="31"/>
      </w:r>
    </w:p>
    <w:p w14:paraId="5C1CD616" w14:textId="79A4B785" w:rsidR="00A20EF2" w:rsidRDefault="00164E21" w:rsidP="009C00DC">
      <w:pPr>
        <w:spacing w:after="200" w:line="276" w:lineRule="auto"/>
        <w:ind w:left="360"/>
        <w:jc w:val="both"/>
      </w:pPr>
      <w:r>
        <w:t>b.</w:t>
      </w:r>
      <w:r>
        <w:tab/>
      </w:r>
      <w:r w:rsidR="00A20EF2">
        <w:t xml:space="preserve">A compact of dedicated program loans from IFIs (see footnote </w:t>
      </w:r>
      <w:r w:rsidR="00A23892" w:rsidRPr="009C00DC">
        <w:t>32</w:t>
      </w:r>
      <w:r w:rsidR="00A20EF2">
        <w:t>), underpinned by a sustained objective of refinancing loans which will amortize over the next eight years, thus replacing short-term debt structures with long-term foreign currency, with no impact on the composition of concessional debt;</w:t>
      </w:r>
      <w:r w:rsidR="00A20EF2">
        <w:rPr>
          <w:rStyle w:val="FootnoteReference"/>
        </w:rPr>
        <w:footnoteReference w:id="32"/>
      </w:r>
    </w:p>
    <w:p w14:paraId="594DF883" w14:textId="42AD75A7" w:rsidR="00A20EF2" w:rsidRDefault="00164E21" w:rsidP="009C00DC">
      <w:pPr>
        <w:spacing w:after="200" w:line="276" w:lineRule="auto"/>
        <w:ind w:left="360"/>
        <w:jc w:val="both"/>
      </w:pPr>
      <w:r>
        <w:t>c.</w:t>
      </w:r>
      <w:r>
        <w:tab/>
      </w:r>
      <w:r w:rsidR="00A20EF2">
        <w:t xml:space="preserve">A compact of dedicated program loans from IFIs (see footnote </w:t>
      </w:r>
      <w:r w:rsidR="00A23892" w:rsidRPr="009C00DC">
        <w:t>32</w:t>
      </w:r>
      <w:r w:rsidR="00A20EF2">
        <w:t>), underpinned by a sustained objective of bolstering the foreign exchange reserves of the country that would help to reduce currency pressure and drive down the local interest rates. This could pave the way for the government to issue greater amount of domestic debt in AMD and refinance external loans maturing over the medium term by purchasing foreign currency from the market. Although the composition of the foreign currency debt may remain unchanged initially, this will open up opportunities to deepen the domestic debt market at lower cost</w:t>
      </w:r>
      <w:proofErr w:type="gramStart"/>
      <w:r w:rsidR="00A20EF2">
        <w:t>;</w:t>
      </w:r>
      <w:proofErr w:type="gramEnd"/>
    </w:p>
    <w:p w14:paraId="1F43905C" w14:textId="41D2D08F" w:rsidR="00A20EF2" w:rsidRDefault="00164E21" w:rsidP="009C00DC">
      <w:pPr>
        <w:spacing w:after="200" w:line="276" w:lineRule="auto"/>
        <w:ind w:left="360"/>
        <w:jc w:val="both"/>
      </w:pPr>
      <w:proofErr w:type="gramStart"/>
      <w:r>
        <w:t>d.</w:t>
      </w:r>
      <w:r>
        <w:tab/>
      </w:r>
      <w:r w:rsidR="00A20EF2">
        <w:t xml:space="preserve">A compact of dedicated program loans from IFIs (see footnote </w:t>
      </w:r>
      <w:r w:rsidR="00A23892">
        <w:t>32</w:t>
      </w:r>
      <w:r w:rsidR="00A20EF2">
        <w:t>), underpinned by a sustained objective of increasing foreign investment in the country through targeted disinvestment of state owned enterprises.</w:t>
      </w:r>
      <w:proofErr w:type="gramEnd"/>
      <w:r w:rsidR="00A20EF2">
        <w:t xml:space="preserve"> This would impart smore stability to the external sector while also reducing public sector expenditure thereby making the macroeconomy more resilient. The proceeds from the disinvestment could be utilized to buyback Eurobonds </w:t>
      </w:r>
      <w:r w:rsidR="00A20EF2">
        <w:lastRenderedPageBreak/>
        <w:t xml:space="preserve">thereby replacing commercial foreign currency debt with concessional foreign currency debt while creating a conducive </w:t>
      </w:r>
      <w:proofErr w:type="gramStart"/>
      <w:r w:rsidR="00A20EF2">
        <w:t>environment  for</w:t>
      </w:r>
      <w:proofErr w:type="gramEnd"/>
      <w:r w:rsidR="00A20EF2">
        <w:t xml:space="preserve"> tapping the domestic debt market in the medium-term;</w:t>
      </w:r>
      <w:r w:rsidR="00A20EF2">
        <w:rPr>
          <w:rStyle w:val="FootnoteReference"/>
        </w:rPr>
        <w:footnoteReference w:id="33"/>
      </w:r>
      <w:r w:rsidR="00A20EF2">
        <w:t xml:space="preserve"> </w:t>
      </w:r>
    </w:p>
    <w:p w14:paraId="7E05D9EF" w14:textId="617200B9" w:rsidR="00A20EF2" w:rsidRDefault="00164E21" w:rsidP="009C00DC">
      <w:pPr>
        <w:spacing w:after="200" w:line="276" w:lineRule="auto"/>
        <w:ind w:left="360"/>
        <w:jc w:val="both"/>
      </w:pPr>
      <w:r>
        <w:t>e.</w:t>
      </w:r>
      <w:r>
        <w:tab/>
      </w:r>
      <w:r w:rsidR="00A20EF2">
        <w:t>Currently, residents hold $155m of Eurobonds. A targeted market led debt swap program for residents to replace the foreign currency Eurobonds with domestic bonds denominated in AMD could reduce foreign currency exposure at a higher nominal interest cost due to premiums related to expectation of currency depreciation and liquidity issues;</w:t>
      </w:r>
    </w:p>
    <w:p w14:paraId="41868EB9" w14:textId="63F4CB49" w:rsidR="00A20EF2" w:rsidRDefault="00164E21" w:rsidP="009C00DC">
      <w:pPr>
        <w:spacing w:after="200" w:line="276" w:lineRule="auto"/>
        <w:ind w:left="360"/>
        <w:jc w:val="both"/>
      </w:pPr>
      <w:r>
        <w:t>f.</w:t>
      </w:r>
      <w:r>
        <w:tab/>
      </w:r>
      <w:r w:rsidR="00A20EF2">
        <w:t>An issuance program of international bonds denominated in AMD with partial credit guarantee from IFIs to enable FX proceeds from non-residents (sourced directly at auction or indirectly via the central bank) to be used to buyback outstanding Eurobonds from the market over a x-year period. Trade-off: it replaces exchange-rate risk with a higher cost of DRAM finance (as non-residents will likely demand a higher currency-depreciation premium)</w:t>
      </w:r>
      <w:proofErr w:type="gramStart"/>
      <w:r w:rsidR="00A20EF2">
        <w:t>;</w:t>
      </w:r>
      <w:proofErr w:type="gramEnd"/>
      <w:r w:rsidR="00A20EF2">
        <w:rPr>
          <w:rStyle w:val="FootnoteReference"/>
        </w:rPr>
        <w:footnoteReference w:id="34"/>
      </w:r>
    </w:p>
    <w:p w14:paraId="621E346F" w14:textId="6F1A73A6" w:rsidR="00A20EF2" w:rsidRDefault="00164E21" w:rsidP="009C00DC">
      <w:pPr>
        <w:spacing w:after="200" w:line="276" w:lineRule="auto"/>
        <w:ind w:left="360"/>
        <w:jc w:val="both"/>
      </w:pPr>
      <w:r>
        <w:t>g.</w:t>
      </w:r>
      <w:r>
        <w:tab/>
      </w:r>
      <w:r w:rsidR="00A20EF2">
        <w:t xml:space="preserve">As past, </w:t>
      </w:r>
      <w:proofErr w:type="gramStart"/>
      <w:r w:rsidR="00A20EF2">
        <w:t>highly-concessional</w:t>
      </w:r>
      <w:proofErr w:type="gramEnd"/>
      <w:r w:rsidR="00A20EF2">
        <w:t xml:space="preserve"> foreign currency debt to IFIs matures, issuing DRAM-denominated debt in local markets to buy the necessary FX could be an option. This can already be charted </w:t>
      </w:r>
      <w:proofErr w:type="gramStart"/>
      <w:r w:rsidR="00A20EF2">
        <w:t>at the moment</w:t>
      </w:r>
      <w:proofErr w:type="gramEnd"/>
      <w:r w:rsidR="00A20EF2">
        <w:t>.</w:t>
      </w:r>
      <w:r w:rsidR="00A20EF2">
        <w:rPr>
          <w:rStyle w:val="FootnoteReference"/>
        </w:rPr>
        <w:footnoteReference w:id="35"/>
      </w:r>
    </w:p>
    <w:p w14:paraId="3BCE6F60" w14:textId="2C14CCE3" w:rsidR="00A20EF2" w:rsidRDefault="00164E21" w:rsidP="009C00DC">
      <w:pPr>
        <w:spacing w:after="200" w:line="276" w:lineRule="auto"/>
        <w:ind w:left="360"/>
        <w:jc w:val="both"/>
      </w:pPr>
      <w:r>
        <w:t>h.</w:t>
      </w:r>
      <w:r>
        <w:tab/>
      </w:r>
      <w:r w:rsidR="00A20EF2">
        <w:t xml:space="preserve">A compact of IFI-provided, concessionally-priced, partial credit guarantees to support the mobilization of foreign-currency commercial loans of longer tenure (and, most importantly, uniform amortization structures), timed to coincide with the retirement of the outstanding 2020 Eurobond and to buy-back (early) the 2025 Eurobond. The change in amortization structure would do away with bullet-type of redemption challenges, and pricing-wise, direct commercial loans would be advantageous </w:t>
      </w:r>
      <w:proofErr w:type="gramStart"/>
      <w:r w:rsidR="00A20EF2">
        <w:t>viz-a-viz</w:t>
      </w:r>
      <w:proofErr w:type="gramEnd"/>
      <w:r w:rsidR="00A20EF2">
        <w:t xml:space="preserve"> the pricing of an IFI-guaranteed Eurobond re-issuance.</w:t>
      </w:r>
    </w:p>
    <w:p w14:paraId="7BE8F721" w14:textId="77777777" w:rsidR="00521EBB" w:rsidRDefault="00521EBB" w:rsidP="00521EBB">
      <w:pPr>
        <w:pStyle w:val="ListParagraph"/>
        <w:jc w:val="both"/>
      </w:pPr>
    </w:p>
    <w:p w14:paraId="296E1B78" w14:textId="77777777" w:rsidR="00521EBB" w:rsidRPr="009C00DC" w:rsidRDefault="00A20EF2" w:rsidP="00A20EF2">
      <w:pPr>
        <w:pStyle w:val="ListParagraph"/>
        <w:numPr>
          <w:ilvl w:val="0"/>
          <w:numId w:val="3"/>
        </w:numPr>
        <w:jc w:val="both"/>
        <w:rPr>
          <w:b/>
        </w:rPr>
      </w:pPr>
      <w:proofErr w:type="gramStart"/>
      <w:r w:rsidRPr="00C85861">
        <w:rPr>
          <w:b/>
        </w:rPr>
        <w:t>Possible Strategy Going Forward</w:t>
      </w:r>
      <w:r w:rsidR="00521EBB">
        <w:rPr>
          <w:b/>
        </w:rPr>
        <w:t>.</w:t>
      </w:r>
      <w:proofErr w:type="gramEnd"/>
      <w:r w:rsidR="00521EBB">
        <w:rPr>
          <w:b/>
        </w:rPr>
        <w:t xml:space="preserve"> </w:t>
      </w:r>
      <w:r>
        <w:t xml:space="preserve">As the discussion above highlights, a wide variety of options </w:t>
      </w:r>
      <w:proofErr w:type="gramStart"/>
      <w:r>
        <w:t>can be conceptualized</w:t>
      </w:r>
      <w:proofErr w:type="gramEnd"/>
      <w:r>
        <w:t xml:space="preserve"> in this regard. One key take-away from the present analysis is that planning should start immediately. The other key take-away, which the following analysis aims to underline, is that some options are vastly superior to others.</w:t>
      </w:r>
    </w:p>
    <w:p w14:paraId="7D1AC178" w14:textId="77777777" w:rsidR="00521EBB" w:rsidRPr="009C00DC" w:rsidRDefault="00521EBB" w:rsidP="009C00DC">
      <w:pPr>
        <w:pStyle w:val="ListParagraph"/>
        <w:ind w:left="360"/>
        <w:jc w:val="both"/>
        <w:rPr>
          <w:b/>
        </w:rPr>
      </w:pPr>
    </w:p>
    <w:p w14:paraId="484C7EE5" w14:textId="23704061" w:rsidR="00A20EF2" w:rsidRPr="009C00DC" w:rsidRDefault="00A20EF2" w:rsidP="009C00DC">
      <w:pPr>
        <w:pStyle w:val="ListParagraph"/>
        <w:numPr>
          <w:ilvl w:val="0"/>
          <w:numId w:val="3"/>
        </w:numPr>
        <w:jc w:val="both"/>
        <w:rPr>
          <w:b/>
        </w:rPr>
      </w:pPr>
      <w:r w:rsidRPr="001B3CDA">
        <w:t xml:space="preserve">As part of a strategy to deal with the Eurobond redemption, </w:t>
      </w:r>
      <w:proofErr w:type="gramStart"/>
      <w:r w:rsidRPr="001B3CDA">
        <w:t>6</w:t>
      </w:r>
      <w:proofErr w:type="gramEnd"/>
      <w:r w:rsidRPr="001B3CDA">
        <w:t xml:space="preserve"> options are </w:t>
      </w:r>
      <w:r>
        <w:t>explored</w:t>
      </w:r>
      <w:r w:rsidRPr="001B3CDA">
        <w:t xml:space="preserve"> below as illustration </w:t>
      </w:r>
      <w:r>
        <w:t xml:space="preserve">of what is possible, as an effort </w:t>
      </w:r>
      <w:r w:rsidRPr="001B3CDA">
        <w:t xml:space="preserve">to support </w:t>
      </w:r>
      <w:r>
        <w:t xml:space="preserve">key </w:t>
      </w:r>
      <w:r w:rsidRPr="001B3CDA">
        <w:t>policy decision</w:t>
      </w:r>
      <w:r>
        <w:t>s by the Government of Armenia</w:t>
      </w:r>
      <w:r w:rsidRPr="001B3CDA">
        <w:t xml:space="preserve">. A detailed cost benefit analysis of the various options </w:t>
      </w:r>
      <w:r>
        <w:t>is also</w:t>
      </w:r>
      <w:r w:rsidRPr="001B3CDA">
        <w:t xml:space="preserve"> indicated</w:t>
      </w:r>
      <w:r>
        <w:t xml:space="preserve"> below (i.e. summarized),</w:t>
      </w:r>
      <w:r w:rsidRPr="001B3CDA">
        <w:t xml:space="preserve"> in terms of the portfolio impact on debt exposure and other macroeconomic implications of such options. </w:t>
      </w:r>
      <w:r>
        <w:t>The following set of assumptions are made for the analysis:</w:t>
      </w:r>
    </w:p>
    <w:p w14:paraId="39ACE1E5" w14:textId="77777777" w:rsidR="00A20EF2" w:rsidRPr="00E60FCD" w:rsidRDefault="00A20EF2" w:rsidP="00A20EF2">
      <w:pPr>
        <w:ind w:left="720"/>
        <w:jc w:val="both"/>
        <w:rPr>
          <w:b/>
        </w:rPr>
      </w:pPr>
      <w:r w:rsidRPr="00E60FCD">
        <w:rPr>
          <w:b/>
        </w:rPr>
        <w:lastRenderedPageBreak/>
        <w:t>Interest Rate</w:t>
      </w:r>
    </w:p>
    <w:p w14:paraId="3862EBB4" w14:textId="77777777" w:rsidR="00A20EF2" w:rsidRDefault="00A20EF2" w:rsidP="00A20EF2">
      <w:pPr>
        <w:ind w:left="1440"/>
        <w:jc w:val="both"/>
      </w:pPr>
      <w:r>
        <w:t>1. 6 month LIBOR rate increases by 75 basis points by 2018</w:t>
      </w:r>
    </w:p>
    <w:p w14:paraId="45F9263E" w14:textId="77777777" w:rsidR="00A20EF2" w:rsidRDefault="00A20EF2" w:rsidP="00A20EF2">
      <w:pPr>
        <w:ind w:left="1440"/>
        <w:jc w:val="both"/>
      </w:pPr>
      <w:r>
        <w:t>2. 10-year sovereign bond yield for Armenia increases by 200 basis points by 2019</w:t>
      </w:r>
    </w:p>
    <w:p w14:paraId="023CE7CD" w14:textId="77777777" w:rsidR="00A20EF2" w:rsidRDefault="00A20EF2" w:rsidP="00A20EF2">
      <w:pPr>
        <w:ind w:left="1440"/>
        <w:jc w:val="both"/>
      </w:pPr>
      <w:r>
        <w:t>3. Partial Credit Guarantee (40 %) on new Eurobond reduces yield by 150 basis points</w:t>
      </w:r>
    </w:p>
    <w:p w14:paraId="75955DB0" w14:textId="77777777" w:rsidR="00A20EF2" w:rsidRDefault="00A20EF2" w:rsidP="00A20EF2">
      <w:pPr>
        <w:ind w:left="1440"/>
        <w:jc w:val="both"/>
      </w:pPr>
      <w:r>
        <w:t>4. Domestic 10-year yield on government bonds declines by 200 basis points by 2022</w:t>
      </w:r>
    </w:p>
    <w:p w14:paraId="7E382E4F" w14:textId="77777777" w:rsidR="00A20EF2" w:rsidRPr="00E60FCD" w:rsidRDefault="00A20EF2" w:rsidP="00A20EF2">
      <w:pPr>
        <w:ind w:left="720"/>
        <w:jc w:val="both"/>
        <w:rPr>
          <w:b/>
        </w:rPr>
      </w:pPr>
      <w:r w:rsidRPr="00E60FCD">
        <w:rPr>
          <w:b/>
        </w:rPr>
        <w:t>Exchange Rate</w:t>
      </w:r>
    </w:p>
    <w:p w14:paraId="4C5589E7" w14:textId="77777777" w:rsidR="00A20EF2" w:rsidRDefault="00A20EF2" w:rsidP="00A20EF2">
      <w:pPr>
        <w:ind w:left="1440"/>
        <w:jc w:val="both"/>
      </w:pPr>
      <w:r>
        <w:t>5. Annual average depreciation of Armenian Dram by 5 percent against US Dollar during 2018-2029</w:t>
      </w:r>
      <w:r>
        <w:br w:type="page"/>
      </w:r>
    </w:p>
    <w:p w14:paraId="22BBF9C9" w14:textId="77777777" w:rsidR="00667D52" w:rsidRPr="00B76EFD" w:rsidRDefault="00667D52" w:rsidP="00667D52">
      <w:pPr>
        <w:pStyle w:val="ListParagraph"/>
        <w:ind w:left="360"/>
        <w:jc w:val="both"/>
        <w:rPr>
          <w:b/>
        </w:rPr>
      </w:pPr>
    </w:p>
    <w:p w14:paraId="56620D7D" w14:textId="1D044EB2" w:rsidR="00A20EF2" w:rsidRPr="009C00DC" w:rsidRDefault="00A20EF2" w:rsidP="009C00DC">
      <w:pPr>
        <w:pStyle w:val="ListParagraph"/>
        <w:numPr>
          <w:ilvl w:val="0"/>
          <w:numId w:val="3"/>
        </w:numPr>
        <w:jc w:val="both"/>
        <w:rPr>
          <w:b/>
        </w:rPr>
      </w:pPr>
      <w:proofErr w:type="gramStart"/>
      <w:r w:rsidRPr="001B3CDA">
        <w:rPr>
          <w:b/>
        </w:rPr>
        <w:t>The Options for Redemption</w:t>
      </w:r>
      <w:r w:rsidR="00667D52">
        <w:rPr>
          <w:b/>
        </w:rPr>
        <w:t>.</w:t>
      </w:r>
      <w:proofErr w:type="gramEnd"/>
      <w:r w:rsidR="00667D52">
        <w:rPr>
          <w:b/>
        </w:rPr>
        <w:t xml:space="preserve"> </w:t>
      </w:r>
      <w:r w:rsidRPr="00E60FCD">
        <w:t xml:space="preserve">The first three options depicted </w:t>
      </w:r>
      <w:r>
        <w:t xml:space="preserve">below (Table </w:t>
      </w:r>
      <w:r w:rsidR="00A44065">
        <w:t>11</w:t>
      </w:r>
      <w:r>
        <w:t>)</w:t>
      </w:r>
      <w:r w:rsidRPr="00E60FCD">
        <w:t xml:space="preserve"> relate to early buyback of both Eurobonds for US$ 1 b. The</w:t>
      </w:r>
      <w:r>
        <w:t>se</w:t>
      </w:r>
      <w:r w:rsidRPr="00E60FCD">
        <w:t xml:space="preserve"> three options relate to different refinancing options</w:t>
      </w:r>
      <w:r>
        <w:t xml:space="preserve"> through a 10-year policy loan from IFIs; local currency (AMD) bond issuance of 10-year domestically</w:t>
      </w:r>
      <w:proofErr w:type="gramStart"/>
      <w:r>
        <w:t>;</w:t>
      </w:r>
      <w:proofErr w:type="gramEnd"/>
      <w:r>
        <w:t xml:space="preserve"> and through a new issuance of a 10 year Eurobond. The latter three options relate to refinancing of the 2020 Eurobond of $500 with its redemption at maturity. This include refinancing through new Eurobond issuance or contraction of loan from international investment back, both of which have partial credit guarantee from IFIs; and through issuance of AMD bonds of 10-year. For options with refinancing through issuance of AMD bonds, the foreign exchange </w:t>
      </w:r>
      <w:proofErr w:type="gramStart"/>
      <w:r>
        <w:t>is assumed to be purchased</w:t>
      </w:r>
      <w:proofErr w:type="gramEnd"/>
      <w:r>
        <w:t xml:space="preserve"> from the local forex market through such bond proceeds. </w:t>
      </w:r>
    </w:p>
    <w:p w14:paraId="756D9B13" w14:textId="77777777" w:rsidR="00521EBB" w:rsidRDefault="00521EBB" w:rsidP="00A20EF2">
      <w:pPr>
        <w:jc w:val="both"/>
      </w:pPr>
    </w:p>
    <w:p w14:paraId="0AAC55E5" w14:textId="0030D221" w:rsidR="00A20EF2" w:rsidRPr="00BF67D7" w:rsidRDefault="00A20EF2" w:rsidP="00A20EF2">
      <w:pPr>
        <w:jc w:val="center"/>
        <w:rPr>
          <w:b/>
        </w:rPr>
      </w:pPr>
      <w:r w:rsidRPr="00E60FCD">
        <w:rPr>
          <w:b/>
        </w:rPr>
        <w:t xml:space="preserve">Table </w:t>
      </w:r>
      <w:r w:rsidR="00A44065">
        <w:rPr>
          <w:b/>
        </w:rPr>
        <w:t>11</w:t>
      </w:r>
      <w:r w:rsidRPr="00E60FCD">
        <w:rPr>
          <w:b/>
        </w:rPr>
        <w:t>: Options for Eurobond Redemption</w:t>
      </w:r>
    </w:p>
    <w:tbl>
      <w:tblPr>
        <w:tblW w:w="5550" w:type="pct"/>
        <w:tblInd w:w="-306" w:type="dxa"/>
        <w:tblLayout w:type="fixed"/>
        <w:tblCellMar>
          <w:left w:w="0" w:type="dxa"/>
          <w:right w:w="0" w:type="dxa"/>
        </w:tblCellMar>
        <w:tblLook w:val="0420" w:firstRow="1" w:lastRow="0" w:firstColumn="0" w:lastColumn="0" w:noHBand="0" w:noVBand="1"/>
      </w:tblPr>
      <w:tblGrid>
        <w:gridCol w:w="360"/>
        <w:gridCol w:w="6033"/>
        <w:gridCol w:w="4316"/>
      </w:tblGrid>
      <w:tr w:rsidR="00A20EF2" w:rsidRPr="00986E29" w14:paraId="3691C0BC" w14:textId="77777777" w:rsidTr="00B012CF">
        <w:trPr>
          <w:trHeight w:val="358"/>
        </w:trPr>
        <w:tc>
          <w:tcPr>
            <w:tcW w:w="1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067F1BC" w14:textId="77777777" w:rsidR="00A20EF2" w:rsidRPr="00E60FCD" w:rsidRDefault="00A20EF2" w:rsidP="00B012CF">
            <w:pPr>
              <w:rPr>
                <w:color w:val="FFFFFF" w:themeColor="background1"/>
              </w:rPr>
            </w:pPr>
          </w:p>
        </w:tc>
        <w:tc>
          <w:tcPr>
            <w:tcW w:w="281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EB16DF8" w14:textId="77777777" w:rsidR="00A20EF2" w:rsidRPr="00E60FCD" w:rsidRDefault="00A20EF2" w:rsidP="00B012CF">
            <w:pPr>
              <w:rPr>
                <w:color w:val="FFFFFF" w:themeColor="background1"/>
              </w:rPr>
            </w:pPr>
            <w:r w:rsidRPr="00E60FCD">
              <w:rPr>
                <w:b/>
                <w:bCs/>
                <w:color w:val="FFFFFF" w:themeColor="background1"/>
              </w:rPr>
              <w:t>Form of Redemption</w:t>
            </w:r>
          </w:p>
        </w:tc>
        <w:tc>
          <w:tcPr>
            <w:tcW w:w="2015"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7D4B787" w14:textId="77777777" w:rsidR="00A20EF2" w:rsidRPr="00E60FCD" w:rsidRDefault="00A20EF2" w:rsidP="00B012CF">
            <w:pPr>
              <w:rPr>
                <w:color w:val="FFFFFF" w:themeColor="background1"/>
              </w:rPr>
            </w:pPr>
            <w:r w:rsidRPr="00E60FCD">
              <w:rPr>
                <w:b/>
                <w:bCs/>
                <w:color w:val="FFFFFF" w:themeColor="background1"/>
              </w:rPr>
              <w:t>New Debt Financing</w:t>
            </w:r>
          </w:p>
        </w:tc>
      </w:tr>
      <w:tr w:rsidR="00A20EF2" w:rsidRPr="00986E29" w14:paraId="403F88FE" w14:textId="77777777" w:rsidTr="00B012CF">
        <w:trPr>
          <w:trHeight w:val="435"/>
        </w:trPr>
        <w:tc>
          <w:tcPr>
            <w:tcW w:w="16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9BCE88" w14:textId="77777777" w:rsidR="00A20EF2" w:rsidRPr="00E60FCD" w:rsidRDefault="00A20EF2" w:rsidP="00B012CF">
            <w:pPr>
              <w:rPr>
                <w:sz w:val="20"/>
                <w:szCs w:val="20"/>
              </w:rPr>
            </w:pPr>
            <w:r w:rsidRPr="00E60FCD">
              <w:rPr>
                <w:sz w:val="20"/>
                <w:szCs w:val="20"/>
              </w:rPr>
              <w:t>1</w:t>
            </w:r>
          </w:p>
        </w:tc>
        <w:tc>
          <w:tcPr>
            <w:tcW w:w="2817"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4EEFE7" w14:textId="77777777" w:rsidR="00A20EF2" w:rsidRPr="00E60FCD" w:rsidRDefault="00A20EF2" w:rsidP="00B012CF">
            <w:pPr>
              <w:rPr>
                <w:sz w:val="20"/>
                <w:szCs w:val="20"/>
              </w:rPr>
            </w:pPr>
            <w:r w:rsidRPr="00E60FCD">
              <w:rPr>
                <w:b/>
                <w:bCs/>
                <w:sz w:val="20"/>
                <w:szCs w:val="20"/>
              </w:rPr>
              <w:t>Buyback</w:t>
            </w:r>
            <w:r w:rsidRPr="00E60FCD">
              <w:rPr>
                <w:sz w:val="20"/>
                <w:szCs w:val="20"/>
              </w:rPr>
              <w:t xml:space="preserve"> of Eurobonds of $1000.1 m in 2018</w:t>
            </w:r>
          </w:p>
        </w:tc>
        <w:tc>
          <w:tcPr>
            <w:tcW w:w="2015"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56491C" w14:textId="77777777" w:rsidR="00A20EF2" w:rsidRPr="00E60FCD" w:rsidRDefault="00A20EF2" w:rsidP="00B012CF">
            <w:pPr>
              <w:rPr>
                <w:sz w:val="20"/>
                <w:szCs w:val="20"/>
              </w:rPr>
            </w:pPr>
            <w:r w:rsidRPr="00E60FCD">
              <w:rPr>
                <w:sz w:val="20"/>
                <w:szCs w:val="20"/>
              </w:rPr>
              <w:t>10 year policy loan for US$ 1 b from IFIs</w:t>
            </w:r>
          </w:p>
        </w:tc>
      </w:tr>
      <w:tr w:rsidR="00A20EF2" w:rsidRPr="00986E29" w14:paraId="4C37E2AA" w14:textId="77777777" w:rsidTr="00B012CF">
        <w:trPr>
          <w:trHeight w:val="655"/>
        </w:trPr>
        <w:tc>
          <w:tcPr>
            <w:tcW w:w="168"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0775F99" w14:textId="77777777" w:rsidR="00A20EF2" w:rsidRPr="00E60FCD" w:rsidRDefault="00A20EF2" w:rsidP="00B012CF">
            <w:pPr>
              <w:rPr>
                <w:sz w:val="20"/>
                <w:szCs w:val="20"/>
              </w:rPr>
            </w:pPr>
            <w:r w:rsidRPr="00E60FCD">
              <w:rPr>
                <w:sz w:val="20"/>
                <w:szCs w:val="20"/>
              </w:rPr>
              <w:t>2</w:t>
            </w:r>
          </w:p>
        </w:tc>
        <w:tc>
          <w:tcPr>
            <w:tcW w:w="281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9B5CED" w14:textId="77777777" w:rsidR="00A20EF2" w:rsidRPr="00E60FCD" w:rsidRDefault="00A20EF2" w:rsidP="00B012CF">
            <w:pPr>
              <w:rPr>
                <w:sz w:val="20"/>
                <w:szCs w:val="20"/>
              </w:rPr>
            </w:pPr>
            <w:r w:rsidRPr="00E60FCD">
              <w:rPr>
                <w:b/>
                <w:bCs/>
                <w:sz w:val="20"/>
                <w:szCs w:val="20"/>
              </w:rPr>
              <w:t>Buyback</w:t>
            </w:r>
            <w:r w:rsidRPr="00E60FCD">
              <w:rPr>
                <w:sz w:val="20"/>
                <w:szCs w:val="20"/>
              </w:rPr>
              <w:t xml:space="preserve"> of Eurobonds of $200 m annually during 2018-2022</w:t>
            </w:r>
          </w:p>
        </w:tc>
        <w:tc>
          <w:tcPr>
            <w:tcW w:w="201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948E2F7" w14:textId="77777777" w:rsidR="00A20EF2" w:rsidRPr="00E60FCD" w:rsidRDefault="00A20EF2" w:rsidP="00B012CF">
            <w:pPr>
              <w:rPr>
                <w:sz w:val="20"/>
                <w:szCs w:val="20"/>
              </w:rPr>
            </w:pPr>
            <w:r w:rsidRPr="00E60FCD">
              <w:rPr>
                <w:sz w:val="20"/>
                <w:szCs w:val="20"/>
              </w:rPr>
              <w:t>AMD 10-year bonds issued annually equivalent to US$ 200 m during 2018-22</w:t>
            </w:r>
          </w:p>
        </w:tc>
      </w:tr>
      <w:tr w:rsidR="00A20EF2" w:rsidRPr="00986E29" w14:paraId="109672F2" w14:textId="77777777" w:rsidTr="00B012CF">
        <w:trPr>
          <w:trHeight w:val="475"/>
        </w:trPr>
        <w:tc>
          <w:tcPr>
            <w:tcW w:w="168"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6FF71CC" w14:textId="77777777" w:rsidR="00A20EF2" w:rsidRPr="00E60FCD" w:rsidRDefault="00A20EF2" w:rsidP="00B012CF">
            <w:pPr>
              <w:rPr>
                <w:sz w:val="20"/>
                <w:szCs w:val="20"/>
              </w:rPr>
            </w:pPr>
            <w:r w:rsidRPr="00E60FCD">
              <w:rPr>
                <w:sz w:val="20"/>
                <w:szCs w:val="20"/>
              </w:rPr>
              <w:t>3</w:t>
            </w:r>
          </w:p>
        </w:tc>
        <w:tc>
          <w:tcPr>
            <w:tcW w:w="281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BD5103" w14:textId="77777777" w:rsidR="00A20EF2" w:rsidRPr="00E60FCD" w:rsidRDefault="00A20EF2" w:rsidP="00B012CF">
            <w:pPr>
              <w:rPr>
                <w:sz w:val="20"/>
                <w:szCs w:val="20"/>
              </w:rPr>
            </w:pPr>
            <w:r w:rsidRPr="00E60FCD">
              <w:rPr>
                <w:b/>
                <w:bCs/>
                <w:sz w:val="20"/>
                <w:szCs w:val="20"/>
              </w:rPr>
              <w:t>Buyback</w:t>
            </w:r>
            <w:r w:rsidRPr="00E60FCD">
              <w:rPr>
                <w:sz w:val="20"/>
                <w:szCs w:val="20"/>
              </w:rPr>
              <w:t xml:space="preserve"> of Eurobonds of $1000.1 m during 2018-2025</w:t>
            </w:r>
          </w:p>
        </w:tc>
        <w:tc>
          <w:tcPr>
            <w:tcW w:w="201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9D9B8E1" w14:textId="77777777" w:rsidR="00A20EF2" w:rsidRPr="00E60FCD" w:rsidRDefault="00A20EF2" w:rsidP="00B012CF">
            <w:pPr>
              <w:rPr>
                <w:sz w:val="20"/>
                <w:szCs w:val="20"/>
              </w:rPr>
            </w:pPr>
            <w:r w:rsidRPr="00E60FCD">
              <w:rPr>
                <w:sz w:val="20"/>
                <w:szCs w:val="20"/>
              </w:rPr>
              <w:t>IFI 10 year policy loan ($ 200 m) and AMD 10-year bonds ($ 800.1 m) issued during 2018-25</w:t>
            </w:r>
          </w:p>
        </w:tc>
      </w:tr>
      <w:tr w:rsidR="00A20EF2" w:rsidRPr="00986E29" w14:paraId="48A9F564" w14:textId="77777777" w:rsidTr="00B012CF">
        <w:trPr>
          <w:trHeight w:val="475"/>
        </w:trPr>
        <w:tc>
          <w:tcPr>
            <w:tcW w:w="168"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C47445" w14:textId="77777777" w:rsidR="00A20EF2" w:rsidRPr="00E60FCD" w:rsidRDefault="00A20EF2" w:rsidP="00B012CF">
            <w:pPr>
              <w:rPr>
                <w:sz w:val="20"/>
                <w:szCs w:val="20"/>
              </w:rPr>
            </w:pPr>
            <w:r w:rsidRPr="00E60FCD">
              <w:rPr>
                <w:sz w:val="20"/>
                <w:szCs w:val="20"/>
              </w:rPr>
              <w:t>4</w:t>
            </w:r>
          </w:p>
        </w:tc>
        <w:tc>
          <w:tcPr>
            <w:tcW w:w="281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AD6A68" w14:textId="77777777" w:rsidR="00A20EF2" w:rsidRPr="00E60FCD" w:rsidRDefault="00A20EF2" w:rsidP="00B012CF">
            <w:pPr>
              <w:rPr>
                <w:sz w:val="20"/>
                <w:szCs w:val="20"/>
              </w:rPr>
            </w:pPr>
            <w:r w:rsidRPr="00E60FCD">
              <w:rPr>
                <w:sz w:val="20"/>
                <w:szCs w:val="20"/>
              </w:rPr>
              <w:t xml:space="preserve">Eurobond 2020 of $500.1 m redeemed at original maturity </w:t>
            </w:r>
            <w:r w:rsidRPr="00E60FCD">
              <w:rPr>
                <w:b/>
                <w:bCs/>
                <w:sz w:val="20"/>
                <w:szCs w:val="20"/>
              </w:rPr>
              <w:t>(refinance)</w:t>
            </w:r>
          </w:p>
        </w:tc>
        <w:tc>
          <w:tcPr>
            <w:tcW w:w="201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D814FD" w14:textId="77777777" w:rsidR="00A20EF2" w:rsidRPr="00E60FCD" w:rsidRDefault="00A20EF2" w:rsidP="00B012CF">
            <w:pPr>
              <w:rPr>
                <w:sz w:val="20"/>
                <w:szCs w:val="20"/>
              </w:rPr>
            </w:pPr>
            <w:r w:rsidRPr="00E60FCD">
              <w:rPr>
                <w:sz w:val="20"/>
                <w:szCs w:val="20"/>
              </w:rPr>
              <w:t>Eurobond $ 500.1 m issued in 2020 with partial guarantee from IFIs</w:t>
            </w:r>
          </w:p>
        </w:tc>
      </w:tr>
      <w:tr w:rsidR="00A20EF2" w:rsidRPr="00986E29" w14:paraId="5C54C50B" w14:textId="77777777" w:rsidTr="00B012CF">
        <w:trPr>
          <w:trHeight w:val="520"/>
        </w:trPr>
        <w:tc>
          <w:tcPr>
            <w:tcW w:w="168"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37E21B" w14:textId="77777777" w:rsidR="00A20EF2" w:rsidRPr="00E60FCD" w:rsidRDefault="00A20EF2" w:rsidP="00B012CF">
            <w:pPr>
              <w:rPr>
                <w:sz w:val="20"/>
                <w:szCs w:val="20"/>
              </w:rPr>
            </w:pPr>
            <w:r w:rsidRPr="00E60FCD">
              <w:rPr>
                <w:sz w:val="20"/>
                <w:szCs w:val="20"/>
              </w:rPr>
              <w:t>5</w:t>
            </w:r>
          </w:p>
        </w:tc>
        <w:tc>
          <w:tcPr>
            <w:tcW w:w="281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9EA0B69" w14:textId="77777777" w:rsidR="00A20EF2" w:rsidRPr="00E60FCD" w:rsidRDefault="00A20EF2" w:rsidP="00B012CF">
            <w:pPr>
              <w:rPr>
                <w:sz w:val="20"/>
                <w:szCs w:val="20"/>
              </w:rPr>
            </w:pPr>
            <w:r w:rsidRPr="00E60FCD">
              <w:rPr>
                <w:sz w:val="20"/>
                <w:szCs w:val="20"/>
              </w:rPr>
              <w:t xml:space="preserve">Eurobond 2020 of $500.1 m redeemed at original maturity </w:t>
            </w:r>
            <w:r w:rsidRPr="00E60FCD">
              <w:rPr>
                <w:b/>
                <w:bCs/>
                <w:sz w:val="20"/>
                <w:szCs w:val="20"/>
              </w:rPr>
              <w:t>(refinance)</w:t>
            </w:r>
          </w:p>
        </w:tc>
        <w:tc>
          <w:tcPr>
            <w:tcW w:w="201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2C4A0AC" w14:textId="77777777" w:rsidR="00A20EF2" w:rsidRPr="00E60FCD" w:rsidRDefault="00A20EF2" w:rsidP="00B012CF">
            <w:pPr>
              <w:rPr>
                <w:sz w:val="20"/>
                <w:szCs w:val="20"/>
              </w:rPr>
            </w:pPr>
            <w:r w:rsidRPr="00E60FCD">
              <w:rPr>
                <w:sz w:val="20"/>
                <w:szCs w:val="20"/>
              </w:rPr>
              <w:t>Investment Bank Loan of $ 500.1 m with partial guarantee from IFIs</w:t>
            </w:r>
          </w:p>
        </w:tc>
      </w:tr>
      <w:tr w:rsidR="00A20EF2" w:rsidRPr="00986E29" w14:paraId="385BB7B5" w14:textId="77777777" w:rsidTr="00B012CF">
        <w:trPr>
          <w:trHeight w:val="520"/>
        </w:trPr>
        <w:tc>
          <w:tcPr>
            <w:tcW w:w="168"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B1819AD" w14:textId="77777777" w:rsidR="00A20EF2" w:rsidRPr="00E60FCD" w:rsidRDefault="00A20EF2" w:rsidP="00B012CF">
            <w:pPr>
              <w:rPr>
                <w:sz w:val="20"/>
                <w:szCs w:val="20"/>
              </w:rPr>
            </w:pPr>
            <w:r w:rsidRPr="00E60FCD">
              <w:rPr>
                <w:sz w:val="20"/>
                <w:szCs w:val="20"/>
              </w:rPr>
              <w:t>6</w:t>
            </w:r>
          </w:p>
        </w:tc>
        <w:tc>
          <w:tcPr>
            <w:tcW w:w="281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69DE428" w14:textId="77777777" w:rsidR="00A20EF2" w:rsidRPr="00E60FCD" w:rsidRDefault="00A20EF2" w:rsidP="00B012CF">
            <w:pPr>
              <w:rPr>
                <w:sz w:val="20"/>
                <w:szCs w:val="20"/>
              </w:rPr>
            </w:pPr>
            <w:r w:rsidRPr="00E60FCD">
              <w:rPr>
                <w:sz w:val="20"/>
                <w:szCs w:val="20"/>
              </w:rPr>
              <w:t xml:space="preserve">Eurobond 2020 of $500.1 m redeemed at original maturity </w:t>
            </w:r>
            <w:r w:rsidRPr="00E60FCD">
              <w:rPr>
                <w:b/>
                <w:bCs/>
                <w:sz w:val="20"/>
                <w:szCs w:val="20"/>
              </w:rPr>
              <w:t>(refinance)</w:t>
            </w:r>
          </w:p>
        </w:tc>
        <w:tc>
          <w:tcPr>
            <w:tcW w:w="201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469200" w14:textId="77777777" w:rsidR="00A20EF2" w:rsidRPr="00E60FCD" w:rsidRDefault="00A20EF2" w:rsidP="00B012CF">
            <w:pPr>
              <w:rPr>
                <w:sz w:val="20"/>
                <w:szCs w:val="20"/>
              </w:rPr>
            </w:pPr>
            <w:r w:rsidRPr="00E60FCD">
              <w:rPr>
                <w:sz w:val="20"/>
                <w:szCs w:val="20"/>
              </w:rPr>
              <w:t>AMD bond issuance of $ 500.1 m during 2018-20</w:t>
            </w:r>
          </w:p>
        </w:tc>
      </w:tr>
    </w:tbl>
    <w:p w14:paraId="31A36CF4" w14:textId="77777777" w:rsidR="00A20EF2" w:rsidRDefault="00A20EF2" w:rsidP="00A20EF2">
      <w:pPr>
        <w:rPr>
          <w:b/>
        </w:rPr>
      </w:pPr>
    </w:p>
    <w:p w14:paraId="6E6ABBA4" w14:textId="77777777" w:rsidR="00667D52" w:rsidRPr="00B76EFD" w:rsidRDefault="00667D52" w:rsidP="00667D52">
      <w:pPr>
        <w:pStyle w:val="ListParagraph"/>
        <w:ind w:left="360"/>
        <w:jc w:val="both"/>
        <w:rPr>
          <w:b/>
        </w:rPr>
      </w:pPr>
    </w:p>
    <w:p w14:paraId="01991F60" w14:textId="674A72A6" w:rsidR="00A20EF2" w:rsidRPr="009C00DC" w:rsidRDefault="00A20EF2" w:rsidP="009C00DC">
      <w:pPr>
        <w:pStyle w:val="ListParagraph"/>
        <w:numPr>
          <w:ilvl w:val="0"/>
          <w:numId w:val="3"/>
        </w:numPr>
        <w:jc w:val="both"/>
        <w:rPr>
          <w:b/>
        </w:rPr>
      </w:pPr>
      <w:proofErr w:type="gramStart"/>
      <w:r w:rsidRPr="001B3CDA">
        <w:rPr>
          <w:b/>
        </w:rPr>
        <w:t>Transformation of Redemption Profile for various options</w:t>
      </w:r>
      <w:r w:rsidR="00667D52">
        <w:rPr>
          <w:b/>
        </w:rPr>
        <w:t>.</w:t>
      </w:r>
      <w:proofErr w:type="gramEnd"/>
      <w:r w:rsidR="00667D52">
        <w:rPr>
          <w:b/>
        </w:rPr>
        <w:t xml:space="preserve"> </w:t>
      </w:r>
      <w:r w:rsidRPr="00E60FCD">
        <w:t xml:space="preserve">The impact of the various refinancing options on the redemption profile of new debt created </w:t>
      </w:r>
      <w:proofErr w:type="gramStart"/>
      <w:r w:rsidRPr="00E60FCD">
        <w:t>is shown</w:t>
      </w:r>
      <w:proofErr w:type="gramEnd"/>
      <w:r w:rsidRPr="00E60FCD">
        <w:t xml:space="preserve"> in Figure 1 and 2. Figure </w:t>
      </w:r>
      <w:r w:rsidR="00A23892">
        <w:t>9</w:t>
      </w:r>
      <w:r w:rsidRPr="00E60FCD">
        <w:t xml:space="preserve"> compares the outstanding redemption of the two Eurobonds with the new redemption profile created through buyback operations of $1 b. For the buyback operations, the combination of IFI loans and AMD Bond issuance creates a very smooth redemption profile followed by buybacks through AMD bond issuance exclusively.</w:t>
      </w:r>
      <w:r>
        <w:t xml:space="preserve"> </w:t>
      </w:r>
      <w:r w:rsidRPr="00E60FCD">
        <w:t xml:space="preserve">Figure </w:t>
      </w:r>
      <w:r w:rsidR="00A23892">
        <w:t>10</w:t>
      </w:r>
      <w:r w:rsidRPr="00E60FCD">
        <w:t xml:space="preserve"> compares the outstanding redemption profile of the 2020 Eurobond with new debt of $500 m created through redeeming the Eurobond obligation at maturity. For the buyback operations, the combination of IFI loans and AMD Bond issuance creates a very smooth redemption profile followed by buybacks through AMD bond issuance exclusively. The loan from Investment bank bears out a smoother redemption profile followed by issuance of AMD bonds.   </w:t>
      </w:r>
    </w:p>
    <w:p w14:paraId="6A554DE2" w14:textId="77777777" w:rsidR="00A20EF2" w:rsidRDefault="00A20EF2" w:rsidP="00A20EF2">
      <w:pPr>
        <w:rPr>
          <w:b/>
        </w:rPr>
        <w:sectPr w:rsidR="00A20EF2">
          <w:pgSz w:w="12240" w:h="15840"/>
          <w:pgMar w:top="1440" w:right="1440" w:bottom="1440" w:left="1440" w:header="720" w:footer="720" w:gutter="0"/>
          <w:cols w:space="720"/>
          <w:docGrid w:linePitch="360"/>
        </w:sectPr>
      </w:pPr>
    </w:p>
    <w:p w14:paraId="6599D727" w14:textId="081FDA36" w:rsidR="00A20EF2" w:rsidRDefault="00A20EF2" w:rsidP="00A20EF2">
      <w:pPr>
        <w:jc w:val="center"/>
        <w:rPr>
          <w:b/>
        </w:rPr>
      </w:pPr>
      <w:r>
        <w:rPr>
          <w:b/>
        </w:rPr>
        <w:lastRenderedPageBreak/>
        <w:t xml:space="preserve">Figure </w:t>
      </w:r>
      <w:r w:rsidR="00A23892">
        <w:rPr>
          <w:b/>
        </w:rPr>
        <w:t>9</w:t>
      </w:r>
      <w:r>
        <w:rPr>
          <w:b/>
        </w:rPr>
        <w:t>: Impact on Redemption Profile for Buybacks</w:t>
      </w:r>
    </w:p>
    <w:tbl>
      <w:tblPr>
        <w:tblStyle w:val="TableGrid"/>
        <w:tblW w:w="0" w:type="auto"/>
        <w:tblLook w:val="04A0" w:firstRow="1" w:lastRow="0" w:firstColumn="1" w:lastColumn="0" w:noHBand="0" w:noVBand="1"/>
      </w:tblPr>
      <w:tblGrid>
        <w:gridCol w:w="6772"/>
        <w:gridCol w:w="6404"/>
      </w:tblGrid>
      <w:tr w:rsidR="00A20EF2" w14:paraId="012A08FE" w14:textId="77777777" w:rsidTr="00B012CF">
        <w:trPr>
          <w:trHeight w:val="3961"/>
        </w:trPr>
        <w:tc>
          <w:tcPr>
            <w:tcW w:w="7087" w:type="dxa"/>
          </w:tcPr>
          <w:p w14:paraId="59DFE8BB" w14:textId="530275E4" w:rsidR="00A20EF2" w:rsidRDefault="009C00DC" w:rsidP="00B012CF">
            <w:r>
              <w:rPr>
                <w:noProof/>
                <w:lang w:eastAsia="en-US"/>
              </w:rPr>
              <w:drawing>
                <wp:inline distT="0" distB="0" distL="0" distR="0" wp14:anchorId="2A9527B5" wp14:editId="00944407">
                  <wp:extent cx="4420235" cy="2524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0235" cy="2524125"/>
                          </a:xfrm>
                          <a:prstGeom prst="rect">
                            <a:avLst/>
                          </a:prstGeom>
                          <a:noFill/>
                        </pic:spPr>
                      </pic:pic>
                    </a:graphicData>
                  </a:graphic>
                </wp:inline>
              </w:drawing>
            </w:r>
          </w:p>
        </w:tc>
        <w:tc>
          <w:tcPr>
            <w:tcW w:w="7087" w:type="dxa"/>
          </w:tcPr>
          <w:p w14:paraId="7DF0278B" w14:textId="3680BDBB" w:rsidR="00A20EF2" w:rsidRDefault="009C00DC" w:rsidP="00B012CF">
            <w:r>
              <w:rPr>
                <w:noProof/>
                <w:lang w:eastAsia="en-US"/>
              </w:rPr>
              <w:drawing>
                <wp:inline distT="0" distB="0" distL="0" distR="0" wp14:anchorId="42AB8A38" wp14:editId="3AAA68BC">
                  <wp:extent cx="4163695" cy="2524125"/>
                  <wp:effectExtent l="0" t="0" r="825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3695" cy="2524125"/>
                          </a:xfrm>
                          <a:prstGeom prst="rect">
                            <a:avLst/>
                          </a:prstGeom>
                          <a:noFill/>
                        </pic:spPr>
                      </pic:pic>
                    </a:graphicData>
                  </a:graphic>
                </wp:inline>
              </w:drawing>
            </w:r>
          </w:p>
        </w:tc>
      </w:tr>
      <w:tr w:rsidR="00A20EF2" w14:paraId="57896098" w14:textId="77777777" w:rsidTr="00B012CF">
        <w:trPr>
          <w:trHeight w:val="3961"/>
        </w:trPr>
        <w:tc>
          <w:tcPr>
            <w:tcW w:w="7087" w:type="dxa"/>
          </w:tcPr>
          <w:p w14:paraId="44A7B7BD" w14:textId="32B8FA6F" w:rsidR="00A20EF2" w:rsidRDefault="009C00DC" w:rsidP="00B012CF">
            <w:r>
              <w:rPr>
                <w:noProof/>
                <w:lang w:eastAsia="en-US"/>
              </w:rPr>
              <w:drawing>
                <wp:inline distT="0" distB="0" distL="0" distR="0" wp14:anchorId="0550F91D" wp14:editId="1DE9F06B">
                  <wp:extent cx="4420235" cy="24511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0235" cy="2451100"/>
                          </a:xfrm>
                          <a:prstGeom prst="rect">
                            <a:avLst/>
                          </a:prstGeom>
                          <a:noFill/>
                        </pic:spPr>
                      </pic:pic>
                    </a:graphicData>
                  </a:graphic>
                </wp:inline>
              </w:drawing>
            </w:r>
          </w:p>
        </w:tc>
        <w:tc>
          <w:tcPr>
            <w:tcW w:w="7087" w:type="dxa"/>
          </w:tcPr>
          <w:p w14:paraId="7140A1BA" w14:textId="258640B3" w:rsidR="00A20EF2" w:rsidRDefault="009C00DC" w:rsidP="00B012CF">
            <w:r>
              <w:rPr>
                <w:noProof/>
                <w:lang w:eastAsia="en-US"/>
              </w:rPr>
              <w:drawing>
                <wp:inline distT="0" distB="0" distL="0" distR="0" wp14:anchorId="31A2FA6D" wp14:editId="25C22EB3">
                  <wp:extent cx="4163695" cy="261556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3695" cy="2615565"/>
                          </a:xfrm>
                          <a:prstGeom prst="rect">
                            <a:avLst/>
                          </a:prstGeom>
                          <a:noFill/>
                        </pic:spPr>
                      </pic:pic>
                    </a:graphicData>
                  </a:graphic>
                </wp:inline>
              </w:drawing>
            </w:r>
          </w:p>
        </w:tc>
      </w:tr>
    </w:tbl>
    <w:p w14:paraId="4C4B8328" w14:textId="77777777" w:rsidR="00A20EF2" w:rsidRDefault="00A20EF2" w:rsidP="00A20EF2">
      <w:pPr>
        <w:rPr>
          <w:b/>
        </w:rPr>
      </w:pPr>
    </w:p>
    <w:p w14:paraId="37F05FA8" w14:textId="77777777" w:rsidR="00667D52" w:rsidRDefault="00667D52">
      <w:pPr>
        <w:rPr>
          <w:b/>
        </w:rPr>
      </w:pPr>
      <w:r>
        <w:rPr>
          <w:b/>
        </w:rPr>
        <w:br w:type="page"/>
      </w:r>
    </w:p>
    <w:p w14:paraId="07F36A81" w14:textId="602F2FC2" w:rsidR="00A20EF2" w:rsidRDefault="00A20EF2" w:rsidP="00A20EF2">
      <w:pPr>
        <w:jc w:val="center"/>
        <w:rPr>
          <w:b/>
        </w:rPr>
      </w:pPr>
      <w:r>
        <w:rPr>
          <w:b/>
        </w:rPr>
        <w:lastRenderedPageBreak/>
        <w:t xml:space="preserve">Figure </w:t>
      </w:r>
      <w:r w:rsidR="00A23892">
        <w:rPr>
          <w:b/>
        </w:rPr>
        <w:t>10</w:t>
      </w:r>
      <w:r>
        <w:rPr>
          <w:b/>
        </w:rPr>
        <w:t>:  Impact on Redemption Profile for Redemption at Maturity</w:t>
      </w:r>
    </w:p>
    <w:tbl>
      <w:tblPr>
        <w:tblStyle w:val="TableGrid"/>
        <w:tblW w:w="0" w:type="auto"/>
        <w:tblLook w:val="04A0" w:firstRow="1" w:lastRow="0" w:firstColumn="1" w:lastColumn="0" w:noHBand="0" w:noVBand="1"/>
      </w:tblPr>
      <w:tblGrid>
        <w:gridCol w:w="6677"/>
        <w:gridCol w:w="6499"/>
      </w:tblGrid>
      <w:tr w:rsidR="00A20EF2" w14:paraId="15DD4347" w14:textId="77777777" w:rsidTr="00B012CF">
        <w:trPr>
          <w:trHeight w:val="3961"/>
        </w:trPr>
        <w:tc>
          <w:tcPr>
            <w:tcW w:w="7087" w:type="dxa"/>
          </w:tcPr>
          <w:p w14:paraId="20498998" w14:textId="68446FAC" w:rsidR="00A20EF2" w:rsidRDefault="009C00DC" w:rsidP="00B012CF">
            <w:r>
              <w:rPr>
                <w:noProof/>
                <w:lang w:eastAsia="en-US"/>
              </w:rPr>
              <w:drawing>
                <wp:inline distT="0" distB="0" distL="0" distR="0" wp14:anchorId="3C530EBF" wp14:editId="6929162B">
                  <wp:extent cx="4097020" cy="24511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7020" cy="2451100"/>
                          </a:xfrm>
                          <a:prstGeom prst="rect">
                            <a:avLst/>
                          </a:prstGeom>
                          <a:noFill/>
                        </pic:spPr>
                      </pic:pic>
                    </a:graphicData>
                  </a:graphic>
                </wp:inline>
              </w:drawing>
            </w:r>
          </w:p>
        </w:tc>
        <w:tc>
          <w:tcPr>
            <w:tcW w:w="7087" w:type="dxa"/>
          </w:tcPr>
          <w:p w14:paraId="40303E92" w14:textId="0F74290B" w:rsidR="00A20EF2" w:rsidRDefault="009C00DC" w:rsidP="00B012CF">
            <w:r>
              <w:rPr>
                <w:noProof/>
                <w:lang w:eastAsia="en-US"/>
              </w:rPr>
              <w:drawing>
                <wp:inline distT="0" distB="0" distL="0" distR="0" wp14:anchorId="00F725F5" wp14:editId="44D3E139">
                  <wp:extent cx="3853180" cy="24511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3180" cy="2451100"/>
                          </a:xfrm>
                          <a:prstGeom prst="rect">
                            <a:avLst/>
                          </a:prstGeom>
                          <a:noFill/>
                        </pic:spPr>
                      </pic:pic>
                    </a:graphicData>
                  </a:graphic>
                </wp:inline>
              </w:drawing>
            </w:r>
          </w:p>
        </w:tc>
      </w:tr>
      <w:tr w:rsidR="00A20EF2" w14:paraId="0D2C4E7D" w14:textId="77777777" w:rsidTr="00B012CF">
        <w:trPr>
          <w:trHeight w:val="3961"/>
        </w:trPr>
        <w:tc>
          <w:tcPr>
            <w:tcW w:w="7087" w:type="dxa"/>
          </w:tcPr>
          <w:p w14:paraId="646AC545" w14:textId="28CDE431" w:rsidR="00A20EF2" w:rsidRDefault="009C00DC" w:rsidP="00B012CF">
            <w:r>
              <w:rPr>
                <w:noProof/>
                <w:lang w:eastAsia="en-US"/>
              </w:rPr>
              <w:drawing>
                <wp:inline distT="0" distB="0" distL="0" distR="0" wp14:anchorId="1DBF37FF" wp14:editId="73874E25">
                  <wp:extent cx="3993515" cy="2468880"/>
                  <wp:effectExtent l="0" t="0" r="698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3515" cy="2468880"/>
                          </a:xfrm>
                          <a:prstGeom prst="rect">
                            <a:avLst/>
                          </a:prstGeom>
                          <a:noFill/>
                        </pic:spPr>
                      </pic:pic>
                    </a:graphicData>
                  </a:graphic>
                </wp:inline>
              </w:drawing>
            </w:r>
          </w:p>
        </w:tc>
        <w:tc>
          <w:tcPr>
            <w:tcW w:w="7087" w:type="dxa"/>
          </w:tcPr>
          <w:p w14:paraId="6F1ED708" w14:textId="29418D4A" w:rsidR="00A20EF2" w:rsidRDefault="009C00DC" w:rsidP="00B012CF">
            <w:r>
              <w:rPr>
                <w:noProof/>
                <w:lang w:eastAsia="en-US"/>
              </w:rPr>
              <w:drawing>
                <wp:inline distT="0" distB="0" distL="0" distR="0" wp14:anchorId="68C7B96A" wp14:editId="3E93055D">
                  <wp:extent cx="3975100" cy="2468880"/>
                  <wp:effectExtent l="0" t="0" r="635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5100" cy="2468880"/>
                          </a:xfrm>
                          <a:prstGeom prst="rect">
                            <a:avLst/>
                          </a:prstGeom>
                          <a:noFill/>
                        </pic:spPr>
                      </pic:pic>
                    </a:graphicData>
                  </a:graphic>
                </wp:inline>
              </w:drawing>
            </w:r>
          </w:p>
        </w:tc>
      </w:tr>
    </w:tbl>
    <w:p w14:paraId="77CBB932" w14:textId="77777777" w:rsidR="00A20EF2" w:rsidRDefault="00A20EF2" w:rsidP="00A20EF2">
      <w:pPr>
        <w:rPr>
          <w:b/>
        </w:rPr>
      </w:pPr>
    </w:p>
    <w:p w14:paraId="5D8C9E4F" w14:textId="77777777" w:rsidR="00A20EF2" w:rsidRDefault="00A20EF2" w:rsidP="00A20EF2">
      <w:pPr>
        <w:rPr>
          <w:b/>
        </w:rPr>
      </w:pPr>
    </w:p>
    <w:p w14:paraId="7D1CF2E8" w14:textId="77777777" w:rsidR="00667D52" w:rsidRDefault="00667D52">
      <w:pPr>
        <w:rPr>
          <w:b/>
        </w:rPr>
      </w:pPr>
      <w:r>
        <w:rPr>
          <w:b/>
        </w:rPr>
        <w:br w:type="page"/>
      </w:r>
    </w:p>
    <w:p w14:paraId="76A2334F" w14:textId="4A39F927" w:rsidR="00A20EF2" w:rsidRDefault="00A20EF2" w:rsidP="00A20EF2">
      <w:pPr>
        <w:jc w:val="center"/>
        <w:rPr>
          <w:b/>
        </w:rPr>
      </w:pPr>
      <w:r>
        <w:rPr>
          <w:b/>
        </w:rPr>
        <w:lastRenderedPageBreak/>
        <w:t xml:space="preserve">Table </w:t>
      </w:r>
      <w:r w:rsidR="00A44065">
        <w:rPr>
          <w:b/>
        </w:rPr>
        <w:t>12</w:t>
      </w:r>
      <w:r>
        <w:rPr>
          <w:b/>
        </w:rPr>
        <w:t>: Impact Analysis of Various Options</w:t>
      </w:r>
    </w:p>
    <w:p w14:paraId="47974C25" w14:textId="77777777" w:rsidR="00A20EF2" w:rsidRDefault="00A20EF2" w:rsidP="00A20EF2">
      <w:pPr>
        <w:rPr>
          <w:b/>
        </w:rPr>
        <w:sectPr w:rsidR="00A20EF2" w:rsidSect="00B012CF">
          <w:pgSz w:w="15840" w:h="12240" w:orient="landscape"/>
          <w:pgMar w:top="1440" w:right="1440" w:bottom="1440" w:left="1440" w:header="720" w:footer="720" w:gutter="0"/>
          <w:cols w:space="720"/>
          <w:docGrid w:linePitch="360"/>
        </w:sectPr>
      </w:pPr>
      <w:r w:rsidRPr="00916ED2">
        <w:rPr>
          <w:noProof/>
          <w:lang w:eastAsia="en-US"/>
        </w:rPr>
        <w:drawing>
          <wp:inline distT="0" distB="0" distL="0" distR="0" wp14:anchorId="044F5FF1" wp14:editId="742054A0">
            <wp:extent cx="8229600" cy="41364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29600" cy="4136434"/>
                    </a:xfrm>
                    <a:prstGeom prst="rect">
                      <a:avLst/>
                    </a:prstGeom>
                    <a:noFill/>
                    <a:ln>
                      <a:noFill/>
                    </a:ln>
                  </pic:spPr>
                </pic:pic>
              </a:graphicData>
            </a:graphic>
          </wp:inline>
        </w:drawing>
      </w:r>
    </w:p>
    <w:p w14:paraId="2961349D" w14:textId="77777777" w:rsidR="008B1A3C" w:rsidRPr="00B76EFD" w:rsidRDefault="008B1A3C" w:rsidP="008B1A3C">
      <w:pPr>
        <w:pStyle w:val="ListParagraph"/>
        <w:ind w:left="360"/>
        <w:jc w:val="both"/>
        <w:rPr>
          <w:b/>
        </w:rPr>
      </w:pPr>
    </w:p>
    <w:p w14:paraId="40CF6796" w14:textId="4A58CA4C" w:rsidR="008B1A3C" w:rsidRDefault="008B1A3C" w:rsidP="008B1A3C">
      <w:pPr>
        <w:pStyle w:val="ListParagraph"/>
        <w:numPr>
          <w:ilvl w:val="0"/>
          <w:numId w:val="3"/>
        </w:numPr>
        <w:jc w:val="both"/>
      </w:pPr>
      <w:proofErr w:type="gramStart"/>
      <w:r>
        <w:rPr>
          <w:b/>
        </w:rPr>
        <w:t>I</w:t>
      </w:r>
      <w:r w:rsidR="00A20EF2" w:rsidRPr="001B3CDA">
        <w:rPr>
          <w:b/>
        </w:rPr>
        <w:t>mpact Analysis of Various Options</w:t>
      </w:r>
      <w:r>
        <w:rPr>
          <w:b/>
        </w:rPr>
        <w:t>.</w:t>
      </w:r>
      <w:proofErr w:type="gramEnd"/>
      <w:r>
        <w:rPr>
          <w:b/>
        </w:rPr>
        <w:t xml:space="preserve"> </w:t>
      </w:r>
      <w:r w:rsidR="00A20EF2" w:rsidRPr="00E60FCD">
        <w:t xml:space="preserve">To understand the overall impact of the various refinancing options on some key metrics relating to currency and refinancing risk on public debt, exchange rate stability, domestic market development, and overall cost savings, Table </w:t>
      </w:r>
      <w:r w:rsidR="00A44065">
        <w:t>12</w:t>
      </w:r>
      <w:r w:rsidR="00A20EF2" w:rsidRPr="00E60FCD">
        <w:t xml:space="preserve"> </w:t>
      </w:r>
      <w:r w:rsidR="00A20EF2">
        <w:t xml:space="preserve">above </w:t>
      </w:r>
      <w:r w:rsidR="00A20EF2" w:rsidRPr="00E60FCD">
        <w:t xml:space="preserve">provides a heat map of the various metrics. To analyze the impact on exchange rate, it is assumed that any </w:t>
      </w:r>
      <w:proofErr w:type="gramStart"/>
      <w:r w:rsidR="00A20EF2" w:rsidRPr="00E60FCD">
        <w:t>transaction which result</w:t>
      </w:r>
      <w:proofErr w:type="gramEnd"/>
      <w:r w:rsidR="00A20EF2" w:rsidRPr="00E60FCD">
        <w:t xml:space="preserve"> in a net annual outflow of $150 m could lead to pressure on the exchange rate with greater volatility</w:t>
      </w:r>
      <w:r w:rsidR="00A20EF2">
        <w:rPr>
          <w:rStyle w:val="FootnoteReference"/>
        </w:rPr>
        <w:footnoteReference w:id="36"/>
      </w:r>
      <w:r w:rsidR="00A20EF2" w:rsidRPr="00E60FCD">
        <w:t xml:space="preserve">. The trade-off between various risk exposures, macroeconomic stability and market development objectives suggest that there is no unique </w:t>
      </w:r>
      <w:proofErr w:type="gramStart"/>
      <w:r w:rsidR="00A20EF2" w:rsidRPr="00E60FCD">
        <w:t>option which</w:t>
      </w:r>
      <w:proofErr w:type="gramEnd"/>
      <w:r w:rsidR="00A20EF2" w:rsidRPr="00E60FCD">
        <w:t xml:space="preserve"> suits all the metrics.</w:t>
      </w:r>
    </w:p>
    <w:p w14:paraId="0ECE82A0" w14:textId="77777777" w:rsidR="008B1A3C" w:rsidRDefault="008B1A3C" w:rsidP="009C00DC">
      <w:pPr>
        <w:pStyle w:val="ListParagraph"/>
        <w:ind w:left="360"/>
        <w:jc w:val="both"/>
      </w:pPr>
    </w:p>
    <w:p w14:paraId="2C7586C5" w14:textId="77777777" w:rsidR="008B1A3C" w:rsidRDefault="00A20EF2" w:rsidP="00A20EF2">
      <w:pPr>
        <w:pStyle w:val="ListParagraph"/>
        <w:numPr>
          <w:ilvl w:val="0"/>
          <w:numId w:val="3"/>
        </w:numPr>
        <w:jc w:val="both"/>
      </w:pPr>
      <w:r w:rsidRPr="00E60FCD">
        <w:t>In addition to the impact analysis depicted, it is also imperative to consider the impact on the debt level in the context of the new fiscal rule, whereby the Government will aim to limits its overall debt below 50 percent of GDP. Options relating to buyback of the Eurobonds could imply higher debt levels than other options given the gradual buyback of the Eurobonds with a frontloaded refinancing operation.</w:t>
      </w:r>
    </w:p>
    <w:p w14:paraId="33C00BE8" w14:textId="77777777" w:rsidR="008B1A3C" w:rsidRDefault="008B1A3C" w:rsidP="009C00DC">
      <w:pPr>
        <w:pStyle w:val="ListParagraph"/>
      </w:pPr>
    </w:p>
    <w:p w14:paraId="44CB45F0" w14:textId="77777777" w:rsidR="008B1A3C" w:rsidRDefault="00A20EF2" w:rsidP="00A20EF2">
      <w:pPr>
        <w:pStyle w:val="ListParagraph"/>
        <w:numPr>
          <w:ilvl w:val="0"/>
          <w:numId w:val="3"/>
        </w:numPr>
        <w:jc w:val="both"/>
      </w:pPr>
      <w:r w:rsidRPr="00E60FCD">
        <w:t xml:space="preserve">Finally, the feasibility of each option also needs to </w:t>
      </w:r>
      <w:proofErr w:type="gramStart"/>
      <w:r w:rsidRPr="00E60FCD">
        <w:t>be considered</w:t>
      </w:r>
      <w:proofErr w:type="gramEnd"/>
      <w:r w:rsidRPr="00E60FCD">
        <w:t>. For instance, issuance of local currency AMD bonds domestically will depend on the absorptive capacity of the financial market.</w:t>
      </w:r>
      <w:r>
        <w:t xml:space="preserve"> With an excess liquidity of AMD 50 bn at the end of March 2018, it </w:t>
      </w:r>
      <w:proofErr w:type="gramStart"/>
      <w:r>
        <w:t>is expected</w:t>
      </w:r>
      <w:proofErr w:type="gramEnd"/>
      <w:r>
        <w:t xml:space="preserve"> to further widen to AMD 100 bn spurred by government expenditures and foreign capital inflows. Much of the excess liquidity is a structural liquidity overhang. This implies that the upper threshold for the market to absorb bond issuances could be around $200 mn in 2018. The volume of such issuance could be sustained in the future years through injection of more liquidity in the system through repos by </w:t>
      </w:r>
      <w:proofErr w:type="gramStart"/>
      <w:r>
        <w:t>CBA which</w:t>
      </w:r>
      <w:proofErr w:type="gramEnd"/>
      <w:r>
        <w:t xml:space="preserve"> could also deepen the repo market with a more active inter-bank market.</w:t>
      </w:r>
      <w:r>
        <w:rPr>
          <w:rStyle w:val="FootnoteReference"/>
        </w:rPr>
        <w:footnoteReference w:id="37"/>
      </w:r>
      <w:r>
        <w:t xml:space="preserve"> Based on the current excess liquidity, market perceives to absorb at least AMD 30 </w:t>
      </w:r>
      <w:proofErr w:type="gramStart"/>
      <w:r>
        <w:t>billion</w:t>
      </w:r>
      <w:proofErr w:type="gramEnd"/>
      <w:r>
        <w:t xml:space="preserve"> additional issuance. </w:t>
      </w:r>
    </w:p>
    <w:p w14:paraId="4546EAF1" w14:textId="77777777" w:rsidR="008B1A3C" w:rsidRDefault="008B1A3C" w:rsidP="009C00DC">
      <w:pPr>
        <w:pStyle w:val="ListParagraph"/>
      </w:pPr>
    </w:p>
    <w:p w14:paraId="5A7AAC41" w14:textId="77777777" w:rsidR="008B1A3C" w:rsidRDefault="00A20EF2" w:rsidP="00A20EF2">
      <w:pPr>
        <w:pStyle w:val="ListParagraph"/>
        <w:numPr>
          <w:ilvl w:val="0"/>
          <w:numId w:val="3"/>
        </w:numPr>
        <w:jc w:val="both"/>
      </w:pPr>
      <w:r>
        <w:t xml:space="preserve">On the price impact of additional AMD bond issuance, given the current benign inflation environment in Armenia, additional issuance of around AMD 50 bn ($100 mn) </w:t>
      </w:r>
      <w:proofErr w:type="gramStart"/>
      <w:r>
        <w:t>is expected</w:t>
      </w:r>
      <w:proofErr w:type="gramEnd"/>
      <w:r>
        <w:t xml:space="preserve"> to be neutral with respect to yield movements. Stable inflation rates supported by higher foreign capital flows and more accommodative monetary policy could lead to compression in term premium on medium and </w:t>
      </w:r>
      <w:proofErr w:type="gramStart"/>
      <w:r>
        <w:t>long term</w:t>
      </w:r>
      <w:proofErr w:type="gramEnd"/>
      <w:r>
        <w:t xml:space="preserve"> government bonds.  However, given the market appetite is currently gravitated towards medium-term bonds up to </w:t>
      </w:r>
      <w:proofErr w:type="gramStart"/>
      <w:r>
        <w:t>10 year</w:t>
      </w:r>
      <w:proofErr w:type="gramEnd"/>
      <w:r>
        <w:t xml:space="preserve"> tenor, significant issuance of 30 year bonds could drive up the yields.</w:t>
      </w:r>
    </w:p>
    <w:p w14:paraId="2F2F1973" w14:textId="77777777" w:rsidR="008B1A3C" w:rsidRDefault="008B1A3C" w:rsidP="009C00DC">
      <w:pPr>
        <w:pStyle w:val="ListParagraph"/>
      </w:pPr>
    </w:p>
    <w:p w14:paraId="02AAE79C" w14:textId="77777777" w:rsidR="00C61D8E" w:rsidRDefault="00A20EF2" w:rsidP="00A20EF2">
      <w:pPr>
        <w:pStyle w:val="ListParagraph"/>
        <w:numPr>
          <w:ilvl w:val="0"/>
          <w:numId w:val="3"/>
        </w:numPr>
        <w:jc w:val="both"/>
      </w:pPr>
      <w:r>
        <w:t xml:space="preserve">At another level, policy makers would also need to strategize whether to buyback all Eurobond exposure or limit it to the 2020 Eurobond only. Given the current benchmarking served by the 2025 Eurobond </w:t>
      </w:r>
      <w:proofErr w:type="gramStart"/>
      <w:r>
        <w:t>and also</w:t>
      </w:r>
      <w:proofErr w:type="gramEnd"/>
      <w:r>
        <w:t xml:space="preserve"> in view of the scale of refinancing required, targeting the redemption of 2020 Eurobond at this stage would appear to be a better feasible strategy. Moreover, given that the 2020 Eurobond would be taken out of the benchmark indices by September 2019 with its remaining maturity narrowing to less than one year, buybacks </w:t>
      </w:r>
      <w:r>
        <w:lastRenderedPageBreak/>
        <w:t xml:space="preserve">could result in additional cost savings as investors would like to switch to new </w:t>
      </w:r>
      <w:proofErr w:type="gramStart"/>
      <w:r>
        <w:t>bonds which</w:t>
      </w:r>
      <w:proofErr w:type="gramEnd"/>
      <w:r>
        <w:t xml:space="preserve"> are included in the global indices.</w:t>
      </w:r>
    </w:p>
    <w:p w14:paraId="7183FF12" w14:textId="77777777" w:rsidR="00C61D8E" w:rsidRPr="009C00DC" w:rsidRDefault="00C61D8E" w:rsidP="009C00DC">
      <w:pPr>
        <w:pStyle w:val="ListParagraph"/>
        <w:rPr>
          <w:b/>
        </w:rPr>
      </w:pPr>
    </w:p>
    <w:p w14:paraId="145728BA" w14:textId="77777777" w:rsidR="00C61D8E" w:rsidRDefault="00A20EF2" w:rsidP="00A20EF2">
      <w:pPr>
        <w:pStyle w:val="ListParagraph"/>
        <w:numPr>
          <w:ilvl w:val="0"/>
          <w:numId w:val="3"/>
        </w:numPr>
        <w:jc w:val="both"/>
      </w:pPr>
      <w:proofErr w:type="gramStart"/>
      <w:r w:rsidRPr="009C00DC">
        <w:rPr>
          <w:b/>
        </w:rPr>
        <w:t>Summing-Up</w:t>
      </w:r>
      <w:r w:rsidR="00C61D8E">
        <w:rPr>
          <w:b/>
        </w:rPr>
        <w:t>.</w:t>
      </w:r>
      <w:proofErr w:type="gramEnd"/>
      <w:r w:rsidR="00C61D8E">
        <w:rPr>
          <w:b/>
        </w:rPr>
        <w:t xml:space="preserve"> </w:t>
      </w:r>
      <w:r>
        <w:t xml:space="preserve">From the above analysis, it is clear that redemption of the Eurobond of $500 m needs a careful consideration of various options given its implications on sovereign risk, macroeconomic stability, market development and cost considerations now. Balancing of such </w:t>
      </w:r>
      <w:proofErr w:type="gramStart"/>
      <w:r>
        <w:t>cross-cutting</w:t>
      </w:r>
      <w:proofErr w:type="gramEnd"/>
      <w:r>
        <w:t xml:space="preserve"> policy considerations will be crucial to anchor it within the overall macroeconomic policy setting, Government’s medium-term debt management strategy and financial market development objectives. </w:t>
      </w:r>
    </w:p>
    <w:p w14:paraId="6EC223A9" w14:textId="77777777" w:rsidR="00C61D8E" w:rsidRDefault="00C61D8E" w:rsidP="009C00DC">
      <w:pPr>
        <w:pStyle w:val="ListParagraph"/>
      </w:pPr>
    </w:p>
    <w:p w14:paraId="6632D564" w14:textId="198B6966" w:rsidR="00A20EF2" w:rsidRDefault="00A20EF2" w:rsidP="009C00DC">
      <w:pPr>
        <w:pStyle w:val="ListParagraph"/>
        <w:numPr>
          <w:ilvl w:val="0"/>
          <w:numId w:val="3"/>
        </w:numPr>
        <w:jc w:val="both"/>
      </w:pPr>
      <w:r>
        <w:t xml:space="preserve">A combination of refinancing through loans from IFIs ($200 mn) during 2018-19 and AMD bond issuance in the domestic market (ranging annually around $100 mn) spread between key benchmark issuance of 1 year, 3 year, 5 year and 10 year appears to be a more balanced approach in redeeming the Eurobonds. This approach has the following advantages: </w:t>
      </w:r>
    </w:p>
    <w:p w14:paraId="47314614" w14:textId="77777777" w:rsidR="00A20EF2" w:rsidRDefault="00A20EF2" w:rsidP="00A20EF2">
      <w:pPr>
        <w:pStyle w:val="ListParagraph"/>
        <w:numPr>
          <w:ilvl w:val="0"/>
          <w:numId w:val="45"/>
        </w:numPr>
        <w:spacing w:after="200" w:line="276" w:lineRule="auto"/>
        <w:jc w:val="both"/>
      </w:pPr>
      <w:r>
        <w:t xml:space="preserve">reduces foreign currency risk, </w:t>
      </w:r>
    </w:p>
    <w:p w14:paraId="485A448F" w14:textId="77777777" w:rsidR="00A20EF2" w:rsidRDefault="00A20EF2" w:rsidP="00A20EF2">
      <w:pPr>
        <w:pStyle w:val="ListParagraph"/>
        <w:numPr>
          <w:ilvl w:val="0"/>
          <w:numId w:val="45"/>
        </w:numPr>
        <w:spacing w:after="200" w:line="276" w:lineRule="auto"/>
        <w:jc w:val="both"/>
      </w:pPr>
      <w:r>
        <w:t xml:space="preserve">eliminates refinancing risk, through a smooth redemption profile, </w:t>
      </w:r>
    </w:p>
    <w:p w14:paraId="4A04ECE1" w14:textId="77777777" w:rsidR="00A20EF2" w:rsidRDefault="00A20EF2" w:rsidP="00A20EF2">
      <w:pPr>
        <w:pStyle w:val="ListParagraph"/>
        <w:numPr>
          <w:ilvl w:val="0"/>
          <w:numId w:val="45"/>
        </w:numPr>
        <w:spacing w:after="200" w:line="276" w:lineRule="auto"/>
        <w:jc w:val="both"/>
      </w:pPr>
      <w:r>
        <w:t xml:space="preserve">maintains exchange rate stability, </w:t>
      </w:r>
    </w:p>
    <w:p w14:paraId="3A003FCB" w14:textId="77777777" w:rsidR="00A20EF2" w:rsidRDefault="00A20EF2" w:rsidP="00A20EF2">
      <w:pPr>
        <w:pStyle w:val="ListParagraph"/>
        <w:numPr>
          <w:ilvl w:val="0"/>
          <w:numId w:val="45"/>
        </w:numPr>
        <w:spacing w:after="200" w:line="276" w:lineRule="auto"/>
        <w:jc w:val="both"/>
      </w:pPr>
      <w:r>
        <w:t xml:space="preserve">eases liquidity management challenges of the central bank and </w:t>
      </w:r>
    </w:p>
    <w:p w14:paraId="369C103C" w14:textId="77777777" w:rsidR="00A20EF2" w:rsidRDefault="00A20EF2" w:rsidP="00A20EF2">
      <w:pPr>
        <w:pStyle w:val="ListParagraph"/>
        <w:numPr>
          <w:ilvl w:val="0"/>
          <w:numId w:val="45"/>
        </w:numPr>
        <w:spacing w:after="200" w:line="276" w:lineRule="auto"/>
        <w:jc w:val="both"/>
      </w:pPr>
      <w:proofErr w:type="gramStart"/>
      <w:r>
        <w:t>spurs</w:t>
      </w:r>
      <w:proofErr w:type="gramEnd"/>
      <w:r>
        <w:t xml:space="preserve"> the development of a liquid local currency sovereign bond market, the only path towards the de-dollarisation of the economy (i.e. a necessary first step, but, of course, not a sufficient condition). </w:t>
      </w:r>
    </w:p>
    <w:p w14:paraId="29E0EB2C" w14:textId="77777777" w:rsidR="00C61D8E" w:rsidRDefault="00C61D8E" w:rsidP="00C61D8E">
      <w:pPr>
        <w:pStyle w:val="ListParagraph"/>
      </w:pPr>
    </w:p>
    <w:p w14:paraId="7295D325" w14:textId="77777777" w:rsidR="00C61D8E" w:rsidRDefault="00A20EF2" w:rsidP="00A20EF2">
      <w:pPr>
        <w:pStyle w:val="ListParagraph"/>
        <w:numPr>
          <w:ilvl w:val="0"/>
          <w:numId w:val="3"/>
        </w:numPr>
        <w:jc w:val="both"/>
      </w:pPr>
      <w:r>
        <w:t xml:space="preserve">The design of such a strategy should be well coordinated (i.e. operationally only, so not to impinge on central bank independence concerns) between the PDMD and the CBA, reflected in the Government’s MTDS for 2019-21, and clearly articulated to the financial market participants supplemented with an issuance plan. The buyback of Eurobond in gradual manner </w:t>
      </w:r>
      <w:proofErr w:type="gramStart"/>
      <w:r>
        <w:t>should also be charted</w:t>
      </w:r>
      <w:proofErr w:type="gramEnd"/>
      <w:r>
        <w:t xml:space="preserve"> along with such strategy.  </w:t>
      </w:r>
    </w:p>
    <w:p w14:paraId="2FEE3825" w14:textId="77777777" w:rsidR="00C61D8E" w:rsidRDefault="00C61D8E" w:rsidP="009C00DC">
      <w:pPr>
        <w:pStyle w:val="ListParagraph"/>
        <w:ind w:left="360"/>
        <w:jc w:val="both"/>
      </w:pPr>
    </w:p>
    <w:p w14:paraId="0BAE441F" w14:textId="3C9A496A" w:rsidR="00BD7130" w:rsidRDefault="00A20EF2" w:rsidP="00C61D8E">
      <w:pPr>
        <w:pStyle w:val="ListParagraph"/>
        <w:numPr>
          <w:ilvl w:val="0"/>
          <w:numId w:val="3"/>
        </w:numPr>
        <w:jc w:val="both"/>
      </w:pPr>
      <w:r>
        <w:t xml:space="preserve">Adding contingency lines to a </w:t>
      </w:r>
      <w:proofErr w:type="gramStart"/>
      <w:r>
        <w:t>well communicated</w:t>
      </w:r>
      <w:proofErr w:type="gramEnd"/>
      <w:r>
        <w:t xml:space="preserve"> strategy could be a very important factor for success, especially if the implementation process can be affected by episodes of exchange-rate instability that could reduce how much can be achieved by the AMD debt issuance pillar of the overall effort. These contingency lines could rely on e.g. IFI’s PCG facilities, even when untapped.</w:t>
      </w:r>
      <w:r w:rsidR="00BD7130">
        <w:t xml:space="preserve">    </w:t>
      </w:r>
    </w:p>
    <w:p w14:paraId="3778040C" w14:textId="77777777" w:rsidR="00BD7130" w:rsidRDefault="00BD7130" w:rsidP="00BD7130">
      <w:pPr>
        <w:pStyle w:val="ListParagraph"/>
      </w:pPr>
    </w:p>
    <w:p w14:paraId="20424544" w14:textId="77777777" w:rsidR="00BD7130" w:rsidRDefault="00BD7130" w:rsidP="009C00DC">
      <w:pPr>
        <w:pStyle w:val="Topic1"/>
        <w:numPr>
          <w:ilvl w:val="0"/>
          <w:numId w:val="0"/>
        </w:numPr>
        <w:jc w:val="left"/>
      </w:pPr>
    </w:p>
    <w:p w14:paraId="0B7591BD" w14:textId="77777777" w:rsidR="00BD7130" w:rsidRDefault="00BD7130" w:rsidP="00BD7130">
      <w:pPr>
        <w:pStyle w:val="Topic1"/>
      </w:pPr>
      <w:r w:rsidRPr="003C2F14">
        <w:t>APPROACH</w:t>
      </w:r>
      <w:r>
        <w:t xml:space="preserve"> TO TA AND IMPLEMENTATION</w:t>
      </w:r>
    </w:p>
    <w:p w14:paraId="64D1798A" w14:textId="77777777" w:rsidR="00BD7130" w:rsidRPr="008B21BA" w:rsidRDefault="00BD7130" w:rsidP="009C00DC">
      <w:pPr>
        <w:pStyle w:val="Topic1"/>
        <w:numPr>
          <w:ilvl w:val="0"/>
          <w:numId w:val="0"/>
        </w:numPr>
        <w:ind w:left="720"/>
        <w:jc w:val="left"/>
      </w:pPr>
    </w:p>
    <w:p w14:paraId="78DF9864" w14:textId="77777777" w:rsidR="009545C3" w:rsidRDefault="009545C3" w:rsidP="009545C3">
      <w:pPr>
        <w:pStyle w:val="ListParagraph"/>
        <w:ind w:left="360"/>
        <w:rPr>
          <w:rFonts w:cs="Arial"/>
          <w:b/>
        </w:rPr>
      </w:pPr>
    </w:p>
    <w:p w14:paraId="34E63C79" w14:textId="77777777" w:rsidR="009545C3" w:rsidRDefault="009545C3" w:rsidP="009545C3">
      <w:pPr>
        <w:pStyle w:val="ListParagraph"/>
        <w:numPr>
          <w:ilvl w:val="0"/>
          <w:numId w:val="3"/>
        </w:numPr>
        <w:jc w:val="both"/>
        <w:rPr>
          <w:rFonts w:cs="Arial"/>
        </w:rPr>
      </w:pPr>
      <w:r w:rsidRPr="008D1BE1">
        <w:rPr>
          <w:rFonts w:cs="Arial"/>
        </w:rPr>
        <w:t>Based on the findings of the Inception Mission, the TA’s</w:t>
      </w:r>
      <w:r>
        <w:rPr>
          <w:rFonts w:cs="Arial"/>
        </w:rPr>
        <w:t xml:space="preserve"> objective and purpose of</w:t>
      </w:r>
      <w:r w:rsidRPr="008D1BE1">
        <w:rPr>
          <w:rFonts w:cs="Arial"/>
        </w:rPr>
        <w:t xml:space="preserve"> </w:t>
      </w:r>
      <w:r w:rsidRPr="00931EDE">
        <w:rPr>
          <w:rFonts w:cs="Arial"/>
        </w:rPr>
        <w:t>Strengthening P</w:t>
      </w:r>
      <w:r>
        <w:rPr>
          <w:rFonts w:cs="Arial"/>
        </w:rPr>
        <w:t xml:space="preserve">ublic Debt Management </w:t>
      </w:r>
      <w:proofErr w:type="gramStart"/>
      <w:r>
        <w:rPr>
          <w:rFonts w:cs="Arial"/>
        </w:rPr>
        <w:t>is confirmed</w:t>
      </w:r>
      <w:proofErr w:type="gramEnd"/>
      <w:r>
        <w:rPr>
          <w:rFonts w:cs="Arial"/>
        </w:rPr>
        <w:t xml:space="preserve">. </w:t>
      </w:r>
      <w:proofErr w:type="gramStart"/>
      <w:r w:rsidRPr="003533A7">
        <w:rPr>
          <w:rFonts w:cs="Arial"/>
        </w:rPr>
        <w:t xml:space="preserve">The </w:t>
      </w:r>
      <w:r>
        <w:rPr>
          <w:rFonts w:cs="Arial"/>
        </w:rPr>
        <w:t xml:space="preserve">Public </w:t>
      </w:r>
      <w:r w:rsidRPr="003533A7">
        <w:rPr>
          <w:rFonts w:cs="Arial"/>
        </w:rPr>
        <w:t>Debt Management D</w:t>
      </w:r>
      <w:r>
        <w:rPr>
          <w:rFonts w:cs="Arial"/>
        </w:rPr>
        <w:t>epartment</w:t>
      </w:r>
      <w:r w:rsidRPr="003533A7">
        <w:rPr>
          <w:rFonts w:cs="Arial"/>
        </w:rPr>
        <w:t xml:space="preserve"> (</w:t>
      </w:r>
      <w:r>
        <w:rPr>
          <w:rFonts w:cs="Arial"/>
        </w:rPr>
        <w:t>P</w:t>
      </w:r>
      <w:r w:rsidRPr="003533A7">
        <w:rPr>
          <w:rFonts w:cs="Arial"/>
        </w:rPr>
        <w:t>DMD)</w:t>
      </w:r>
      <w:r>
        <w:rPr>
          <w:rFonts w:cs="Arial"/>
        </w:rPr>
        <w:t>,</w:t>
      </w:r>
      <w:r w:rsidRPr="003533A7">
        <w:rPr>
          <w:rFonts w:cs="Arial"/>
        </w:rPr>
        <w:t xml:space="preserve"> Ministry of Finance </w:t>
      </w:r>
      <w:r>
        <w:rPr>
          <w:rFonts w:cs="Arial"/>
        </w:rPr>
        <w:t xml:space="preserve">is </w:t>
      </w:r>
      <w:r w:rsidRPr="003533A7">
        <w:rPr>
          <w:rFonts w:cs="Arial"/>
        </w:rPr>
        <w:t>the lead entit</w:t>
      </w:r>
      <w:r>
        <w:rPr>
          <w:rFonts w:cs="Arial"/>
        </w:rPr>
        <w:t>y</w:t>
      </w:r>
      <w:r w:rsidRPr="003533A7">
        <w:rPr>
          <w:rFonts w:cs="Arial"/>
        </w:rPr>
        <w:t xml:space="preserve"> in relation to this </w:t>
      </w:r>
      <w:r w:rsidRPr="00C569B2">
        <w:rPr>
          <w:rFonts w:eastAsiaTheme="minorHAnsi" w:cs="Arial"/>
          <w:bCs/>
          <w:lang w:val="en-GB" w:eastAsia="en-US"/>
        </w:rPr>
        <w:t>TA-9332 ARM</w:t>
      </w:r>
      <w:r w:rsidRPr="003533A7">
        <w:rPr>
          <w:rFonts w:cs="Arial"/>
        </w:rPr>
        <w:t xml:space="preserve"> and the Public Debt Management Expert is to support: </w:t>
      </w:r>
      <w:r>
        <w:rPr>
          <w:rFonts w:cs="Arial"/>
        </w:rPr>
        <w:t xml:space="preserve">(i) improvement of the debt management strategy framework; (ii) propose reforms </w:t>
      </w:r>
      <w:r w:rsidRPr="00C61BA1">
        <w:rPr>
          <w:rFonts w:eastAsia="Times New Roman" w:cs="Arial"/>
          <w:lang w:eastAsia="en-GB"/>
        </w:rPr>
        <w:t xml:space="preserve">to </w:t>
      </w:r>
      <w:r>
        <w:rPr>
          <w:rFonts w:eastAsia="Times New Roman" w:cs="Arial"/>
          <w:lang w:eastAsia="en-GB"/>
        </w:rPr>
        <w:t xml:space="preserve">the issuance strategy to </w:t>
      </w:r>
      <w:r w:rsidRPr="00C61BA1">
        <w:rPr>
          <w:rFonts w:eastAsia="Times New Roman" w:cs="Arial"/>
          <w:lang w:eastAsia="en-GB"/>
        </w:rPr>
        <w:t xml:space="preserve">support </w:t>
      </w:r>
      <w:r>
        <w:rPr>
          <w:rFonts w:eastAsia="Times New Roman" w:cs="Arial"/>
          <w:lang w:eastAsia="en-GB"/>
        </w:rPr>
        <w:t xml:space="preserve">development of </w:t>
      </w:r>
      <w:r w:rsidRPr="00C61BA1">
        <w:rPr>
          <w:rFonts w:eastAsia="Times New Roman" w:cs="Arial"/>
          <w:lang w:eastAsia="en-GB"/>
        </w:rPr>
        <w:t xml:space="preserve">money </w:t>
      </w:r>
      <w:r>
        <w:rPr>
          <w:rFonts w:eastAsia="Times New Roman" w:cs="Arial"/>
          <w:lang w:eastAsia="en-GB"/>
        </w:rPr>
        <w:t xml:space="preserve">and local currency debt </w:t>
      </w:r>
      <w:r w:rsidRPr="00C61BA1">
        <w:rPr>
          <w:rFonts w:eastAsia="Times New Roman" w:cs="Arial"/>
          <w:lang w:eastAsia="en-GB"/>
        </w:rPr>
        <w:t>market</w:t>
      </w:r>
      <w:r>
        <w:rPr>
          <w:rFonts w:cs="Arial"/>
        </w:rPr>
        <w:t>; (iii) analyze the possibility of accelerated issuance of domestic bonds to replace external debt; and (iv) strengthen the operational risk management framework and business continuity plan for PDMD.</w:t>
      </w:r>
      <w:proofErr w:type="gramEnd"/>
      <w:r>
        <w:rPr>
          <w:rFonts w:cs="Arial"/>
        </w:rPr>
        <w:t xml:space="preserve"> </w:t>
      </w:r>
      <w:r w:rsidRPr="003533A7">
        <w:rPr>
          <w:rFonts w:cs="Arial"/>
        </w:rPr>
        <w:t>Given these set of roles and responsibilities as well as deliverables under the TOR the suggested approach is as follows:</w:t>
      </w:r>
    </w:p>
    <w:p w14:paraId="7FAAC971" w14:textId="4CBFA14D" w:rsidR="009545C3" w:rsidRDefault="009545C3" w:rsidP="009545C3">
      <w:pPr>
        <w:pStyle w:val="ListParagraph"/>
        <w:ind w:left="360"/>
        <w:jc w:val="both"/>
        <w:rPr>
          <w:rFonts w:cs="Arial"/>
        </w:rPr>
      </w:pPr>
    </w:p>
    <w:p w14:paraId="6E9BF4AA" w14:textId="77777777" w:rsidR="00BD7130" w:rsidRDefault="00BD7130" w:rsidP="009545C3">
      <w:pPr>
        <w:pStyle w:val="ListParagraph"/>
        <w:ind w:left="360"/>
        <w:jc w:val="both"/>
        <w:rPr>
          <w:rFonts w:cs="Arial"/>
        </w:rPr>
      </w:pPr>
    </w:p>
    <w:p w14:paraId="55FEEBEF" w14:textId="7472FF2F" w:rsidR="009545C3" w:rsidRDefault="009545C3" w:rsidP="009545C3">
      <w:pPr>
        <w:pStyle w:val="ListParagraph"/>
        <w:numPr>
          <w:ilvl w:val="0"/>
          <w:numId w:val="20"/>
        </w:numPr>
        <w:jc w:val="both"/>
        <w:rPr>
          <w:rFonts w:cs="Arial"/>
        </w:rPr>
      </w:pPr>
      <w:r>
        <w:rPr>
          <w:rFonts w:cs="Arial"/>
        </w:rPr>
        <w:t xml:space="preserve">Undertake three missions during 2018: 5-23 March 2018, 7-18 May 2018, and </w:t>
      </w:r>
      <w:r w:rsidR="00CE261D">
        <w:rPr>
          <w:rFonts w:cs="Arial"/>
        </w:rPr>
        <w:t>end June</w:t>
      </w:r>
      <w:r>
        <w:rPr>
          <w:rFonts w:cs="Arial"/>
        </w:rPr>
        <w:t xml:space="preserve"> 2018. </w:t>
      </w:r>
    </w:p>
    <w:p w14:paraId="2FAE21A4" w14:textId="77777777" w:rsidR="009545C3" w:rsidRDefault="009545C3" w:rsidP="009545C3">
      <w:pPr>
        <w:pStyle w:val="ListParagraph"/>
        <w:jc w:val="both"/>
        <w:rPr>
          <w:rFonts w:cs="Arial"/>
        </w:rPr>
      </w:pPr>
    </w:p>
    <w:p w14:paraId="464D670C" w14:textId="77777777" w:rsidR="009545C3" w:rsidRDefault="009545C3" w:rsidP="009545C3">
      <w:pPr>
        <w:pStyle w:val="ListParagraph"/>
        <w:numPr>
          <w:ilvl w:val="0"/>
          <w:numId w:val="20"/>
        </w:numPr>
        <w:jc w:val="both"/>
        <w:rPr>
          <w:rFonts w:cs="Arial"/>
        </w:rPr>
      </w:pPr>
      <w:r>
        <w:rPr>
          <w:rFonts w:cs="Arial"/>
        </w:rPr>
        <w:t xml:space="preserve">Design and support a comprehensive macro-financial analysis undertaken by the PDMD in collaboration with the Central Bank of Armenia and NASDAQ OMX on the possibility of acceleration of domestic debt </w:t>
      </w:r>
      <w:proofErr w:type="gramStart"/>
      <w:r>
        <w:rPr>
          <w:rFonts w:cs="Arial"/>
        </w:rPr>
        <w:t>issuance which</w:t>
      </w:r>
      <w:proofErr w:type="gramEnd"/>
      <w:r>
        <w:rPr>
          <w:rFonts w:cs="Arial"/>
        </w:rPr>
        <w:t xml:space="preserve"> replaces external debt. The work will also be closely coordinated with the Debt Market Expert associated with this TA project and seek to benefit from extensive consultations with various investor </w:t>
      </w:r>
      <w:proofErr w:type="gramStart"/>
      <w:r>
        <w:rPr>
          <w:rFonts w:cs="Arial"/>
        </w:rPr>
        <w:t>class</w:t>
      </w:r>
      <w:proofErr w:type="gramEnd"/>
      <w:r>
        <w:rPr>
          <w:rFonts w:cs="Arial"/>
        </w:rPr>
        <w:t>. An outline of the analytical study will be prepared as a starting point with specific allocations for various agencies and experts; (5-23 March 2018),</w:t>
      </w:r>
    </w:p>
    <w:p w14:paraId="2277025D" w14:textId="77777777" w:rsidR="009545C3" w:rsidRDefault="009545C3" w:rsidP="009545C3">
      <w:pPr>
        <w:pStyle w:val="ListParagraph"/>
        <w:jc w:val="both"/>
        <w:rPr>
          <w:rFonts w:cs="Arial"/>
        </w:rPr>
      </w:pPr>
    </w:p>
    <w:p w14:paraId="4AA27CCE" w14:textId="77777777" w:rsidR="009545C3" w:rsidRDefault="009545C3" w:rsidP="009545C3">
      <w:pPr>
        <w:pStyle w:val="ListParagraph"/>
        <w:numPr>
          <w:ilvl w:val="0"/>
          <w:numId w:val="20"/>
        </w:numPr>
        <w:jc w:val="both"/>
        <w:rPr>
          <w:rFonts w:cs="Arial"/>
        </w:rPr>
      </w:pPr>
      <w:r>
        <w:rPr>
          <w:rFonts w:cs="Arial"/>
        </w:rPr>
        <w:t xml:space="preserve">Provide ongoing support and capacity building for PDMD staff relating to domestic government securities issuance strategy and management. Provide informal working sessions with PDMD staff on debt issuance, government securities market and money market development. Provide advice on the formulation of an annual borrowing plan and the development of an issuance calendar. (5-23 March 2018),  </w:t>
      </w:r>
    </w:p>
    <w:p w14:paraId="569ACE90" w14:textId="77777777" w:rsidR="009545C3" w:rsidRPr="00AC1054" w:rsidRDefault="009545C3" w:rsidP="009545C3">
      <w:pPr>
        <w:pStyle w:val="ListParagraph"/>
        <w:rPr>
          <w:rFonts w:cs="Arial"/>
        </w:rPr>
      </w:pPr>
    </w:p>
    <w:p w14:paraId="0BF36174" w14:textId="77777777" w:rsidR="009545C3" w:rsidRDefault="009545C3" w:rsidP="009545C3">
      <w:pPr>
        <w:pStyle w:val="ListParagraph"/>
        <w:numPr>
          <w:ilvl w:val="0"/>
          <w:numId w:val="20"/>
        </w:numPr>
        <w:jc w:val="both"/>
        <w:rPr>
          <w:rFonts w:cs="Arial"/>
        </w:rPr>
      </w:pPr>
      <w:r>
        <w:rPr>
          <w:rFonts w:cs="Arial"/>
        </w:rPr>
        <w:t xml:space="preserve">Prepare an internal policy framework for the PDMD to conduct buyback and switch operations to manage the potential refinancing, liquidity, and interest rate risks associated with the domestic debt redemption profile and rollover of maturing </w:t>
      </w:r>
      <w:proofErr w:type="gramStart"/>
      <w:r>
        <w:rPr>
          <w:rFonts w:cs="Arial"/>
        </w:rPr>
        <w:t>bullet benchmark government securities</w:t>
      </w:r>
      <w:proofErr w:type="gramEnd"/>
      <w:r>
        <w:rPr>
          <w:rFonts w:cs="Arial"/>
        </w:rPr>
        <w:t>. Provide a prototype for switch operations based on which a software for switch auctions will be developed at the NASDAQ OMX. (7-18 May 2018);</w:t>
      </w:r>
    </w:p>
    <w:p w14:paraId="12EE4B47" w14:textId="77777777" w:rsidR="009545C3" w:rsidRDefault="009545C3" w:rsidP="009545C3">
      <w:pPr>
        <w:pStyle w:val="ListParagraph"/>
        <w:jc w:val="both"/>
        <w:rPr>
          <w:rFonts w:cs="Arial"/>
        </w:rPr>
      </w:pPr>
    </w:p>
    <w:p w14:paraId="5ACA95BE" w14:textId="77777777" w:rsidR="009545C3" w:rsidRPr="00C76002" w:rsidRDefault="009545C3" w:rsidP="009545C3">
      <w:pPr>
        <w:pStyle w:val="ListParagraph"/>
        <w:numPr>
          <w:ilvl w:val="0"/>
          <w:numId w:val="20"/>
        </w:numPr>
        <w:jc w:val="both"/>
        <w:rPr>
          <w:rFonts w:cs="Arial"/>
        </w:rPr>
      </w:pPr>
      <w:r>
        <w:rPr>
          <w:rFonts w:cs="Arial"/>
        </w:rPr>
        <w:t xml:space="preserve">Improve the analysis and output for the medium-term </w:t>
      </w:r>
      <w:proofErr w:type="gramStart"/>
      <w:r>
        <w:rPr>
          <w:rFonts w:cs="Arial"/>
        </w:rPr>
        <w:t>debt management strategy framework</w:t>
      </w:r>
      <w:proofErr w:type="gramEnd"/>
      <w:r>
        <w:rPr>
          <w:rFonts w:cs="Arial"/>
        </w:rPr>
        <w:t xml:space="preserve"> to be formulated for 2019-21 by the PDMD. This will require close work with the PDMD. (7-18 May 2018);</w:t>
      </w:r>
    </w:p>
    <w:p w14:paraId="28DF87A5" w14:textId="77777777" w:rsidR="009545C3" w:rsidRPr="00C76002" w:rsidRDefault="009545C3" w:rsidP="009545C3">
      <w:pPr>
        <w:jc w:val="both"/>
        <w:rPr>
          <w:rFonts w:cs="Arial"/>
        </w:rPr>
      </w:pPr>
    </w:p>
    <w:p w14:paraId="226394D1" w14:textId="7AB4958C" w:rsidR="009545C3" w:rsidRDefault="009545C3" w:rsidP="009545C3">
      <w:pPr>
        <w:pStyle w:val="ListParagraph"/>
        <w:numPr>
          <w:ilvl w:val="0"/>
          <w:numId w:val="20"/>
        </w:numPr>
        <w:jc w:val="both"/>
        <w:rPr>
          <w:rFonts w:cs="Arial"/>
        </w:rPr>
      </w:pPr>
      <w:r>
        <w:rPr>
          <w:rFonts w:cs="Arial"/>
        </w:rPr>
        <w:t>Provide assistance and guidance to the PDMD staff on its preparation of an Operational Risk Management guide. (</w:t>
      </w:r>
      <w:r w:rsidR="00CE261D">
        <w:rPr>
          <w:rFonts w:cs="Arial"/>
        </w:rPr>
        <w:t>end June</w:t>
      </w:r>
      <w:r>
        <w:rPr>
          <w:rFonts w:cs="Arial"/>
        </w:rPr>
        <w:t xml:space="preserve"> 2018); and</w:t>
      </w:r>
    </w:p>
    <w:p w14:paraId="6150E187" w14:textId="77777777" w:rsidR="009545C3" w:rsidRPr="007F02F8" w:rsidRDefault="009545C3" w:rsidP="009545C3">
      <w:pPr>
        <w:pStyle w:val="ListParagraph"/>
        <w:rPr>
          <w:rFonts w:cs="Arial"/>
        </w:rPr>
      </w:pPr>
    </w:p>
    <w:p w14:paraId="76E8DC72" w14:textId="7CDA1637" w:rsidR="009545C3" w:rsidRDefault="009545C3" w:rsidP="009545C3">
      <w:pPr>
        <w:pStyle w:val="ListParagraph"/>
        <w:numPr>
          <w:ilvl w:val="0"/>
          <w:numId w:val="20"/>
        </w:numPr>
        <w:jc w:val="both"/>
        <w:rPr>
          <w:rFonts w:cs="Arial"/>
        </w:rPr>
      </w:pPr>
      <w:r>
        <w:rPr>
          <w:rFonts w:cs="Arial"/>
        </w:rPr>
        <w:t>Make recommendations to improve government cash flow forecasting and cash management by the PDMD. (</w:t>
      </w:r>
      <w:proofErr w:type="gramStart"/>
      <w:r w:rsidR="00CE261D">
        <w:rPr>
          <w:rFonts w:cs="Arial"/>
        </w:rPr>
        <w:t>end-June</w:t>
      </w:r>
      <w:proofErr w:type="gramEnd"/>
      <w:r>
        <w:rPr>
          <w:rFonts w:cs="Arial"/>
        </w:rPr>
        <w:t xml:space="preserve"> 2018).</w:t>
      </w:r>
    </w:p>
    <w:p w14:paraId="5E5DEA89" w14:textId="77777777" w:rsidR="009545C3" w:rsidRPr="00C76002" w:rsidRDefault="009545C3" w:rsidP="009545C3">
      <w:pPr>
        <w:jc w:val="both"/>
        <w:rPr>
          <w:rFonts w:cs="Arial"/>
        </w:rPr>
      </w:pPr>
    </w:p>
    <w:p w14:paraId="53FB83FA" w14:textId="77777777" w:rsidR="009545C3" w:rsidRPr="001803FA" w:rsidRDefault="009545C3" w:rsidP="009545C3">
      <w:pPr>
        <w:rPr>
          <w:rFonts w:cs="Arial"/>
        </w:rPr>
      </w:pPr>
    </w:p>
    <w:p w14:paraId="7302F179" w14:textId="77777777" w:rsidR="009545C3" w:rsidRPr="008B21BA" w:rsidRDefault="009545C3" w:rsidP="00466D0E">
      <w:pPr>
        <w:pStyle w:val="Topic1"/>
      </w:pPr>
      <w:bookmarkStart w:id="22" w:name="_Toc506537596"/>
      <w:r>
        <w:t>OUTPUTS</w:t>
      </w:r>
      <w:bookmarkEnd w:id="22"/>
    </w:p>
    <w:p w14:paraId="52F69F20" w14:textId="77777777" w:rsidR="009545C3" w:rsidRPr="008D1BE1" w:rsidRDefault="009545C3" w:rsidP="009545C3">
      <w:pPr>
        <w:rPr>
          <w:rFonts w:cs="Arial"/>
          <w:b/>
        </w:rPr>
      </w:pPr>
    </w:p>
    <w:p w14:paraId="5A436551" w14:textId="77777777" w:rsidR="009545C3" w:rsidRPr="008D1BE1" w:rsidRDefault="009545C3" w:rsidP="009545C3">
      <w:pPr>
        <w:pStyle w:val="ListParagraph"/>
        <w:numPr>
          <w:ilvl w:val="0"/>
          <w:numId w:val="3"/>
        </w:numPr>
        <w:jc w:val="both"/>
        <w:rPr>
          <w:rFonts w:cs="Arial"/>
        </w:rPr>
      </w:pPr>
      <w:r>
        <w:rPr>
          <w:rFonts w:cs="Arial"/>
        </w:rPr>
        <w:t xml:space="preserve">The TOR of </w:t>
      </w:r>
      <w:r w:rsidRPr="00C569B2">
        <w:rPr>
          <w:rFonts w:eastAsiaTheme="minorHAnsi" w:cs="Arial"/>
          <w:bCs/>
          <w:lang w:val="en-GB" w:eastAsia="en-US"/>
        </w:rPr>
        <w:t>TA-9332 ARM</w:t>
      </w:r>
      <w:r w:rsidRPr="008D1BE1">
        <w:rPr>
          <w:rFonts w:cs="Arial"/>
        </w:rPr>
        <w:t xml:space="preserve"> project </w:t>
      </w:r>
      <w:r>
        <w:rPr>
          <w:rFonts w:cs="Arial"/>
        </w:rPr>
        <w:t>requires</w:t>
      </w:r>
      <w:r w:rsidRPr="008D1BE1">
        <w:rPr>
          <w:rFonts w:cs="Arial"/>
        </w:rPr>
        <w:t xml:space="preserve"> consultancy deliverables </w:t>
      </w:r>
      <w:r>
        <w:rPr>
          <w:rFonts w:cs="Arial"/>
        </w:rPr>
        <w:t xml:space="preserve">of an inception report, draft reports on each deliverable, and a </w:t>
      </w:r>
      <w:r w:rsidRPr="008D1BE1">
        <w:rPr>
          <w:rFonts w:cs="Arial"/>
        </w:rPr>
        <w:t>final report.</w:t>
      </w:r>
    </w:p>
    <w:p w14:paraId="6692B455" w14:textId="77777777" w:rsidR="009545C3" w:rsidRPr="008D1BE1" w:rsidRDefault="009545C3" w:rsidP="009545C3">
      <w:pPr>
        <w:jc w:val="both"/>
        <w:rPr>
          <w:rFonts w:cs="Arial"/>
        </w:rPr>
      </w:pPr>
    </w:p>
    <w:p w14:paraId="251D0DE7" w14:textId="77777777" w:rsidR="009545C3" w:rsidRDefault="009545C3" w:rsidP="009545C3">
      <w:pPr>
        <w:pStyle w:val="ListParagraph"/>
        <w:numPr>
          <w:ilvl w:val="0"/>
          <w:numId w:val="3"/>
        </w:numPr>
        <w:ind w:left="357" w:hanging="357"/>
        <w:jc w:val="both"/>
        <w:rPr>
          <w:rFonts w:cs="Arial"/>
        </w:rPr>
      </w:pPr>
      <w:r w:rsidRPr="008D1BE1">
        <w:rPr>
          <w:rFonts w:cs="Arial"/>
        </w:rPr>
        <w:t>This inception report is the first deliverable under contract.</w:t>
      </w:r>
    </w:p>
    <w:p w14:paraId="66AB1568" w14:textId="74426262" w:rsidR="009545C3" w:rsidRDefault="009545C3" w:rsidP="009545C3">
      <w:pPr>
        <w:pStyle w:val="ListParagraph"/>
        <w:ind w:left="357"/>
        <w:jc w:val="both"/>
        <w:rPr>
          <w:rFonts w:cs="Arial"/>
        </w:rPr>
      </w:pPr>
    </w:p>
    <w:p w14:paraId="31C53D11" w14:textId="05FF3C41" w:rsidR="00C61D8E" w:rsidRDefault="00C61D8E">
      <w:pPr>
        <w:rPr>
          <w:rFonts w:cs="Arial"/>
        </w:rPr>
      </w:pPr>
      <w:r>
        <w:rPr>
          <w:rFonts w:cs="Arial"/>
        </w:rPr>
        <w:br w:type="page"/>
      </w:r>
    </w:p>
    <w:p w14:paraId="2BB74DCD" w14:textId="77777777" w:rsidR="00B148B3" w:rsidRPr="00BF5235" w:rsidRDefault="00B148B3" w:rsidP="009545C3">
      <w:pPr>
        <w:pStyle w:val="ListParagraph"/>
        <w:ind w:left="357"/>
        <w:jc w:val="both"/>
        <w:rPr>
          <w:rFonts w:cs="Arial"/>
        </w:rPr>
      </w:pPr>
    </w:p>
    <w:p w14:paraId="4C61235A" w14:textId="77777777" w:rsidR="009545C3" w:rsidRPr="008B21BA" w:rsidRDefault="009545C3" w:rsidP="00466D0E">
      <w:pPr>
        <w:pStyle w:val="Topic1"/>
      </w:pPr>
      <w:bookmarkStart w:id="23" w:name="_Toc506537597"/>
      <w:r w:rsidRPr="008B21BA">
        <w:t>S</w:t>
      </w:r>
      <w:r>
        <w:t>TAKEHOLDER</w:t>
      </w:r>
      <w:r w:rsidRPr="008B21BA">
        <w:t xml:space="preserve"> C</w:t>
      </w:r>
      <w:r>
        <w:t xml:space="preserve">ONSULTATIONS AND </w:t>
      </w:r>
      <w:r w:rsidRPr="008B21BA">
        <w:t>D</w:t>
      </w:r>
      <w:r>
        <w:t xml:space="preserve">OCUMENTS </w:t>
      </w:r>
      <w:r w:rsidRPr="008B21BA">
        <w:t>R</w:t>
      </w:r>
      <w:r>
        <w:t>ECEIVED</w:t>
      </w:r>
      <w:bookmarkEnd w:id="23"/>
    </w:p>
    <w:p w14:paraId="4596151A" w14:textId="77777777" w:rsidR="009545C3" w:rsidRPr="001803FA" w:rsidRDefault="009545C3" w:rsidP="009545C3">
      <w:pPr>
        <w:jc w:val="both"/>
        <w:rPr>
          <w:rFonts w:cs="Arial"/>
        </w:rPr>
      </w:pPr>
    </w:p>
    <w:p w14:paraId="29B46562" w14:textId="184B7318" w:rsidR="009545C3" w:rsidRPr="00B148B3" w:rsidRDefault="009545C3" w:rsidP="009545C3">
      <w:pPr>
        <w:pStyle w:val="Caption"/>
        <w:rPr>
          <w:rFonts w:ascii="Arial" w:hAnsi="Arial" w:cs="Arial"/>
          <w:b w:val="0"/>
          <w:u w:val="none"/>
          <w:lang w:val="en-GB"/>
        </w:rPr>
      </w:pPr>
      <w:r>
        <w:rPr>
          <w:rFonts w:ascii="Arial" w:hAnsi="Arial" w:cs="Arial"/>
          <w:u w:val="none"/>
          <w:lang w:val="en-GB"/>
        </w:rPr>
        <w:t xml:space="preserve">    </w:t>
      </w:r>
      <w:r w:rsidRPr="00B148B3">
        <w:rPr>
          <w:rFonts w:ascii="Arial" w:hAnsi="Arial" w:cs="Arial"/>
          <w:b w:val="0"/>
          <w:u w:val="none"/>
          <w:lang w:val="en-GB"/>
        </w:rPr>
        <w:t xml:space="preserve">Table </w:t>
      </w:r>
      <w:r w:rsidR="00A44065">
        <w:rPr>
          <w:rFonts w:ascii="Arial" w:hAnsi="Arial" w:cs="Arial"/>
          <w:b w:val="0"/>
          <w:u w:val="none"/>
          <w:lang w:val="en-GB"/>
        </w:rPr>
        <w:t>13</w:t>
      </w:r>
      <w:r w:rsidRPr="00B148B3">
        <w:rPr>
          <w:rFonts w:ascii="Arial" w:hAnsi="Arial" w:cs="Arial"/>
          <w:b w:val="0"/>
          <w:u w:val="none"/>
          <w:lang w:val="en-GB"/>
        </w:rPr>
        <w:t>:</w:t>
      </w:r>
      <w:r w:rsidRPr="00B148B3">
        <w:rPr>
          <w:rFonts w:ascii="Arial" w:hAnsi="Arial" w:cs="Arial"/>
          <w:b w:val="0"/>
          <w:u w:val="none"/>
          <w:lang w:val="en-GB"/>
        </w:rPr>
        <w:tab/>
        <w:t>List of Stakeholder Consultations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132"/>
        <w:gridCol w:w="1688"/>
        <w:gridCol w:w="5460"/>
      </w:tblGrid>
      <w:tr w:rsidR="009545C3" w:rsidRPr="001803FA" w14:paraId="07AD7E64" w14:textId="77777777" w:rsidTr="00F528C6">
        <w:trPr>
          <w:trHeight w:val="255"/>
          <w:tblHeader/>
        </w:trPr>
        <w:tc>
          <w:tcPr>
            <w:tcW w:w="1132" w:type="dxa"/>
            <w:shd w:val="clear" w:color="auto" w:fill="E0E0E0"/>
            <w:vAlign w:val="bottom"/>
          </w:tcPr>
          <w:p w14:paraId="08A21967" w14:textId="77777777" w:rsidR="009545C3" w:rsidRPr="001803FA" w:rsidRDefault="009545C3" w:rsidP="00F528C6">
            <w:pPr>
              <w:rPr>
                <w:rFonts w:cs="Arial"/>
                <w:b/>
                <w:lang w:val="en-GB" w:eastAsia="en-GB"/>
              </w:rPr>
            </w:pPr>
            <w:r w:rsidRPr="001803FA">
              <w:rPr>
                <w:rFonts w:cs="Arial"/>
                <w:b/>
                <w:lang w:val="en-GB" w:eastAsia="en-GB"/>
              </w:rPr>
              <w:t>Date</w:t>
            </w:r>
          </w:p>
        </w:tc>
        <w:tc>
          <w:tcPr>
            <w:tcW w:w="1688" w:type="dxa"/>
            <w:shd w:val="clear" w:color="auto" w:fill="E0E0E0"/>
            <w:noWrap/>
            <w:vAlign w:val="bottom"/>
          </w:tcPr>
          <w:p w14:paraId="4DB52BC1" w14:textId="77777777" w:rsidR="009545C3" w:rsidRPr="001803FA" w:rsidRDefault="009545C3" w:rsidP="00F528C6">
            <w:pPr>
              <w:rPr>
                <w:rFonts w:cs="Arial"/>
                <w:b/>
                <w:lang w:val="en-GB" w:eastAsia="en-GB"/>
              </w:rPr>
            </w:pPr>
            <w:r w:rsidRPr="001803FA">
              <w:rPr>
                <w:rFonts w:cs="Arial"/>
                <w:b/>
                <w:lang w:val="en-GB" w:eastAsia="en-GB"/>
              </w:rPr>
              <w:t>Institution</w:t>
            </w:r>
          </w:p>
        </w:tc>
        <w:tc>
          <w:tcPr>
            <w:tcW w:w="5460" w:type="dxa"/>
            <w:shd w:val="clear" w:color="auto" w:fill="E0E0E0"/>
            <w:noWrap/>
            <w:vAlign w:val="bottom"/>
          </w:tcPr>
          <w:p w14:paraId="3A5C72D1" w14:textId="77777777" w:rsidR="009545C3" w:rsidRPr="001803FA" w:rsidRDefault="009545C3" w:rsidP="00F528C6">
            <w:pPr>
              <w:rPr>
                <w:rFonts w:cs="Arial"/>
                <w:b/>
                <w:lang w:val="en-GB" w:eastAsia="en-GB"/>
              </w:rPr>
            </w:pPr>
            <w:r w:rsidRPr="001803FA">
              <w:rPr>
                <w:rFonts w:cs="Arial"/>
                <w:b/>
                <w:lang w:val="en-GB" w:eastAsia="en-GB"/>
              </w:rPr>
              <w:t>Officials Present</w:t>
            </w:r>
          </w:p>
        </w:tc>
      </w:tr>
      <w:tr w:rsidR="009545C3" w:rsidRPr="001803FA" w14:paraId="72FFB831" w14:textId="77777777" w:rsidTr="00F528C6">
        <w:trPr>
          <w:trHeight w:val="255"/>
        </w:trPr>
        <w:tc>
          <w:tcPr>
            <w:tcW w:w="1132" w:type="dxa"/>
          </w:tcPr>
          <w:p w14:paraId="25D67A3A" w14:textId="77777777" w:rsidR="009545C3" w:rsidRPr="008D1BE1" w:rsidRDefault="009545C3" w:rsidP="00F528C6">
            <w:pPr>
              <w:rPr>
                <w:rFonts w:cs="Arial"/>
                <w:lang w:val="en-GB" w:eastAsia="en-GB"/>
              </w:rPr>
            </w:pPr>
            <w:r>
              <w:rPr>
                <w:rFonts w:cs="Arial"/>
                <w:lang w:val="en-GB" w:eastAsia="en-GB"/>
              </w:rPr>
              <w:t>10-12-17</w:t>
            </w:r>
          </w:p>
        </w:tc>
        <w:tc>
          <w:tcPr>
            <w:tcW w:w="1688" w:type="dxa"/>
            <w:noWrap/>
          </w:tcPr>
          <w:p w14:paraId="301BC9E1" w14:textId="77777777" w:rsidR="009545C3" w:rsidRPr="008D1BE1" w:rsidRDefault="009545C3" w:rsidP="00F528C6">
            <w:pPr>
              <w:rPr>
                <w:rFonts w:cs="Arial"/>
                <w:lang w:val="en-GB" w:eastAsia="en-GB"/>
              </w:rPr>
            </w:pPr>
            <w:r>
              <w:rPr>
                <w:rFonts w:cs="Arial"/>
                <w:lang w:val="en-GB" w:eastAsia="en-GB"/>
              </w:rPr>
              <w:t>ADB Resident Office</w:t>
            </w:r>
          </w:p>
        </w:tc>
        <w:tc>
          <w:tcPr>
            <w:tcW w:w="5460" w:type="dxa"/>
            <w:noWrap/>
          </w:tcPr>
          <w:p w14:paraId="351C892B" w14:textId="77777777" w:rsidR="009545C3" w:rsidRDefault="009545C3" w:rsidP="00F528C6">
            <w:pPr>
              <w:pStyle w:val="Bullet2"/>
              <w:rPr>
                <w:rFonts w:ascii="Arial" w:hAnsi="Arial" w:cs="Arial"/>
                <w:szCs w:val="22"/>
              </w:rPr>
            </w:pPr>
            <w:r>
              <w:rPr>
                <w:rFonts w:ascii="Arial" w:hAnsi="Arial" w:cs="Arial"/>
                <w:szCs w:val="22"/>
              </w:rPr>
              <w:t>Joao Farinha-Fernandes – Senior Financial Sector Economist;</w:t>
            </w:r>
          </w:p>
          <w:p w14:paraId="22C6F497" w14:textId="77777777" w:rsidR="009545C3" w:rsidRDefault="009545C3" w:rsidP="00F528C6">
            <w:pPr>
              <w:pStyle w:val="Bullet2"/>
              <w:rPr>
                <w:rFonts w:ascii="Arial" w:hAnsi="Arial" w:cs="Arial"/>
                <w:szCs w:val="22"/>
              </w:rPr>
            </w:pPr>
            <w:r>
              <w:rPr>
                <w:rFonts w:ascii="Arial" w:hAnsi="Arial" w:cs="Arial"/>
                <w:szCs w:val="22"/>
              </w:rPr>
              <w:t>Grigor Gyurjyan - Economist</w:t>
            </w:r>
          </w:p>
          <w:p w14:paraId="45A200A6" w14:textId="77777777" w:rsidR="009545C3" w:rsidRPr="00524E09" w:rsidRDefault="009545C3" w:rsidP="00F528C6">
            <w:pPr>
              <w:pStyle w:val="Bullet2"/>
              <w:rPr>
                <w:rFonts w:ascii="Arial" w:hAnsi="Arial" w:cs="Arial"/>
                <w:szCs w:val="22"/>
              </w:rPr>
            </w:pPr>
            <w:r>
              <w:rPr>
                <w:rFonts w:ascii="Arial" w:hAnsi="Arial" w:cs="Arial"/>
                <w:szCs w:val="22"/>
              </w:rPr>
              <w:t>Vahe Hovhannisyan – National Coordinator.</w:t>
            </w:r>
          </w:p>
        </w:tc>
      </w:tr>
      <w:tr w:rsidR="009545C3" w:rsidRPr="001803FA" w14:paraId="5F27C1D7" w14:textId="77777777" w:rsidTr="00F528C6">
        <w:trPr>
          <w:trHeight w:val="255"/>
        </w:trPr>
        <w:tc>
          <w:tcPr>
            <w:tcW w:w="1132" w:type="dxa"/>
          </w:tcPr>
          <w:p w14:paraId="574A327A" w14:textId="77777777" w:rsidR="009545C3" w:rsidRDefault="009545C3" w:rsidP="00F528C6">
            <w:pPr>
              <w:rPr>
                <w:rFonts w:cs="Arial"/>
                <w:lang w:val="en-GB" w:eastAsia="en-GB"/>
              </w:rPr>
            </w:pPr>
            <w:r>
              <w:rPr>
                <w:rFonts w:cs="Arial"/>
                <w:lang w:val="en-GB" w:eastAsia="en-GB"/>
              </w:rPr>
              <w:t>11-12-17</w:t>
            </w:r>
          </w:p>
          <w:p w14:paraId="547F43C4" w14:textId="77777777" w:rsidR="009545C3" w:rsidRDefault="009545C3" w:rsidP="00F528C6">
            <w:pPr>
              <w:rPr>
                <w:rFonts w:cs="Arial"/>
                <w:lang w:val="en-GB" w:eastAsia="en-GB"/>
              </w:rPr>
            </w:pPr>
            <w:r>
              <w:rPr>
                <w:rFonts w:cs="Arial"/>
                <w:lang w:val="en-GB" w:eastAsia="en-GB"/>
              </w:rPr>
              <w:t xml:space="preserve"> &amp;</w:t>
            </w:r>
          </w:p>
          <w:p w14:paraId="3157A10D" w14:textId="77777777" w:rsidR="009545C3" w:rsidRDefault="009545C3" w:rsidP="00F528C6">
            <w:pPr>
              <w:rPr>
                <w:rFonts w:cs="Arial"/>
                <w:lang w:val="en-GB" w:eastAsia="en-GB"/>
              </w:rPr>
            </w:pPr>
            <w:r>
              <w:rPr>
                <w:rFonts w:cs="Arial"/>
                <w:lang w:val="en-GB" w:eastAsia="en-GB"/>
              </w:rPr>
              <w:t>22-12-17</w:t>
            </w:r>
          </w:p>
        </w:tc>
        <w:tc>
          <w:tcPr>
            <w:tcW w:w="1688" w:type="dxa"/>
            <w:noWrap/>
          </w:tcPr>
          <w:p w14:paraId="09CA4A51" w14:textId="77777777" w:rsidR="009545C3" w:rsidRPr="008D1BE1" w:rsidRDefault="009545C3" w:rsidP="00F528C6">
            <w:pPr>
              <w:rPr>
                <w:rFonts w:cs="Arial"/>
                <w:lang w:val="en-GB" w:eastAsia="en-GB"/>
              </w:rPr>
            </w:pPr>
            <w:r>
              <w:rPr>
                <w:rFonts w:cs="Arial"/>
                <w:lang w:val="en-GB" w:eastAsia="en-GB"/>
              </w:rPr>
              <w:t>PDMD, MoF</w:t>
            </w:r>
          </w:p>
        </w:tc>
        <w:tc>
          <w:tcPr>
            <w:tcW w:w="5460" w:type="dxa"/>
            <w:noWrap/>
          </w:tcPr>
          <w:p w14:paraId="3091A9B1" w14:textId="77777777" w:rsidR="009545C3" w:rsidRPr="00FA1867" w:rsidRDefault="009545C3" w:rsidP="00F528C6">
            <w:pPr>
              <w:pStyle w:val="Bullet2"/>
              <w:rPr>
                <w:rFonts w:ascii="Arial" w:hAnsi="Arial" w:cs="Arial"/>
                <w:szCs w:val="22"/>
              </w:rPr>
            </w:pPr>
            <w:r>
              <w:rPr>
                <w:rFonts w:ascii="Arial" w:hAnsi="Arial" w:cs="Arial"/>
                <w:szCs w:val="22"/>
              </w:rPr>
              <w:t>Arshaluys Margaryan – Head.</w:t>
            </w:r>
          </w:p>
        </w:tc>
      </w:tr>
      <w:tr w:rsidR="009545C3" w:rsidRPr="001803FA" w14:paraId="09F0A0F7" w14:textId="77777777" w:rsidTr="00F528C6">
        <w:trPr>
          <w:trHeight w:val="255"/>
        </w:trPr>
        <w:tc>
          <w:tcPr>
            <w:tcW w:w="1132" w:type="dxa"/>
          </w:tcPr>
          <w:p w14:paraId="13444D71" w14:textId="77777777" w:rsidR="009545C3" w:rsidRDefault="009545C3" w:rsidP="00F528C6">
            <w:pPr>
              <w:rPr>
                <w:rFonts w:cs="Arial"/>
                <w:lang w:val="en-GB" w:eastAsia="en-GB"/>
              </w:rPr>
            </w:pPr>
            <w:r>
              <w:rPr>
                <w:rFonts w:cs="Arial"/>
                <w:lang w:val="en-GB" w:eastAsia="en-GB"/>
              </w:rPr>
              <w:t>11-12-17</w:t>
            </w:r>
          </w:p>
          <w:p w14:paraId="3E5BB6F3" w14:textId="77777777" w:rsidR="009545C3" w:rsidRDefault="009545C3" w:rsidP="00F528C6">
            <w:pPr>
              <w:rPr>
                <w:rFonts w:cs="Arial"/>
                <w:lang w:val="en-GB" w:eastAsia="en-GB"/>
              </w:rPr>
            </w:pPr>
            <w:r>
              <w:rPr>
                <w:rFonts w:cs="Arial"/>
                <w:lang w:val="en-GB" w:eastAsia="en-GB"/>
              </w:rPr>
              <w:t xml:space="preserve">  to</w:t>
            </w:r>
          </w:p>
          <w:p w14:paraId="5F866C61" w14:textId="77777777" w:rsidR="009545C3" w:rsidRPr="008D1BE1" w:rsidRDefault="009545C3" w:rsidP="00F528C6">
            <w:pPr>
              <w:rPr>
                <w:rFonts w:cs="Arial"/>
                <w:lang w:val="en-GB" w:eastAsia="en-GB"/>
              </w:rPr>
            </w:pPr>
            <w:r>
              <w:rPr>
                <w:rFonts w:cs="Arial"/>
                <w:lang w:val="en-GB" w:eastAsia="en-GB"/>
              </w:rPr>
              <w:t>22-12-17</w:t>
            </w:r>
          </w:p>
        </w:tc>
        <w:tc>
          <w:tcPr>
            <w:tcW w:w="1688" w:type="dxa"/>
            <w:noWrap/>
          </w:tcPr>
          <w:p w14:paraId="42F8B8DA" w14:textId="77777777" w:rsidR="009545C3" w:rsidRPr="008D1BE1" w:rsidRDefault="009545C3" w:rsidP="00F528C6">
            <w:pPr>
              <w:rPr>
                <w:rFonts w:cs="Arial"/>
                <w:lang w:val="en-GB" w:eastAsia="en-GB"/>
              </w:rPr>
            </w:pPr>
            <w:r>
              <w:rPr>
                <w:rFonts w:cs="Arial"/>
                <w:lang w:val="en-GB" w:eastAsia="en-GB"/>
              </w:rPr>
              <w:t>PDMD, MoF</w:t>
            </w:r>
          </w:p>
        </w:tc>
        <w:tc>
          <w:tcPr>
            <w:tcW w:w="5460" w:type="dxa"/>
            <w:noWrap/>
          </w:tcPr>
          <w:p w14:paraId="5AD86773" w14:textId="77777777" w:rsidR="009545C3" w:rsidRDefault="009545C3" w:rsidP="00F528C6">
            <w:pPr>
              <w:pStyle w:val="Bullet2"/>
              <w:rPr>
                <w:rFonts w:ascii="Arial" w:hAnsi="Arial" w:cs="Arial"/>
                <w:szCs w:val="22"/>
              </w:rPr>
            </w:pPr>
            <w:r>
              <w:rPr>
                <w:rFonts w:ascii="Arial" w:hAnsi="Arial" w:cs="Arial"/>
                <w:szCs w:val="22"/>
              </w:rPr>
              <w:t>Samvel Khanvelyan – Deputy Head;</w:t>
            </w:r>
          </w:p>
          <w:p w14:paraId="3B0581F7" w14:textId="77777777" w:rsidR="009545C3" w:rsidRDefault="009545C3" w:rsidP="00F528C6">
            <w:pPr>
              <w:pStyle w:val="Bullet2"/>
              <w:rPr>
                <w:rFonts w:ascii="Arial" w:hAnsi="Arial" w:cs="Arial"/>
                <w:szCs w:val="22"/>
              </w:rPr>
            </w:pPr>
            <w:r>
              <w:rPr>
                <w:rFonts w:ascii="Arial" w:hAnsi="Arial" w:cs="Arial"/>
                <w:szCs w:val="22"/>
              </w:rPr>
              <w:t>Artur Hambardzumyan – Head of Strategy and Risk Management Division;</w:t>
            </w:r>
          </w:p>
          <w:p w14:paraId="5D57BCBE" w14:textId="77777777" w:rsidR="009545C3" w:rsidRPr="008D1BE1" w:rsidRDefault="009545C3" w:rsidP="00F528C6">
            <w:pPr>
              <w:pStyle w:val="Bullet2"/>
              <w:rPr>
                <w:rFonts w:ascii="Arial" w:hAnsi="Arial" w:cs="Arial"/>
                <w:szCs w:val="22"/>
              </w:rPr>
            </w:pPr>
            <w:r>
              <w:rPr>
                <w:rFonts w:ascii="Arial" w:hAnsi="Arial" w:cs="Arial"/>
                <w:szCs w:val="22"/>
              </w:rPr>
              <w:t>Artak Marutyan – Deputy Head.</w:t>
            </w:r>
          </w:p>
        </w:tc>
      </w:tr>
      <w:tr w:rsidR="009545C3" w:rsidRPr="001803FA" w14:paraId="36750EE0" w14:textId="77777777" w:rsidTr="00F528C6">
        <w:trPr>
          <w:trHeight w:val="255"/>
        </w:trPr>
        <w:tc>
          <w:tcPr>
            <w:tcW w:w="1132" w:type="dxa"/>
          </w:tcPr>
          <w:p w14:paraId="6F5BD255" w14:textId="77777777" w:rsidR="009545C3" w:rsidRPr="008D1BE1" w:rsidRDefault="009545C3" w:rsidP="00F528C6">
            <w:pPr>
              <w:rPr>
                <w:rFonts w:cs="Arial"/>
                <w:lang w:val="en-GB" w:eastAsia="en-GB"/>
              </w:rPr>
            </w:pPr>
            <w:r>
              <w:rPr>
                <w:rFonts w:cs="Arial"/>
                <w:lang w:val="en-GB" w:eastAsia="en-GB"/>
              </w:rPr>
              <w:t>18-12-17</w:t>
            </w:r>
          </w:p>
        </w:tc>
        <w:tc>
          <w:tcPr>
            <w:tcW w:w="1688" w:type="dxa"/>
            <w:noWrap/>
          </w:tcPr>
          <w:p w14:paraId="30A10655" w14:textId="77777777" w:rsidR="009545C3" w:rsidRPr="008D1BE1" w:rsidRDefault="009545C3" w:rsidP="00F528C6">
            <w:pPr>
              <w:rPr>
                <w:rFonts w:cs="Arial"/>
                <w:lang w:val="en-GB" w:eastAsia="en-GB"/>
              </w:rPr>
            </w:pPr>
            <w:r>
              <w:rPr>
                <w:rFonts w:cs="Arial"/>
                <w:lang w:val="en-GB" w:eastAsia="en-GB"/>
              </w:rPr>
              <w:t>DMOSB, MoF</w:t>
            </w:r>
          </w:p>
        </w:tc>
        <w:tc>
          <w:tcPr>
            <w:tcW w:w="5460" w:type="dxa"/>
            <w:noWrap/>
          </w:tcPr>
          <w:p w14:paraId="2C7CC3AC" w14:textId="77777777" w:rsidR="009545C3" w:rsidRDefault="009545C3" w:rsidP="00F528C6">
            <w:pPr>
              <w:pStyle w:val="Bullet2"/>
              <w:rPr>
                <w:rFonts w:ascii="Arial" w:hAnsi="Arial" w:cs="Arial"/>
                <w:szCs w:val="22"/>
              </w:rPr>
            </w:pPr>
            <w:r>
              <w:rPr>
                <w:rFonts w:ascii="Arial" w:hAnsi="Arial" w:cs="Arial"/>
                <w:szCs w:val="22"/>
              </w:rPr>
              <w:t>Arayikyesayan – Head</w:t>
            </w:r>
          </w:p>
          <w:p w14:paraId="496B5A53" w14:textId="77777777" w:rsidR="009545C3" w:rsidRPr="00FA1867" w:rsidRDefault="009545C3" w:rsidP="00F528C6">
            <w:pPr>
              <w:pStyle w:val="Bullet2"/>
              <w:rPr>
                <w:rFonts w:ascii="Arial" w:hAnsi="Arial" w:cs="Arial"/>
                <w:szCs w:val="22"/>
              </w:rPr>
            </w:pPr>
            <w:r>
              <w:rPr>
                <w:rFonts w:ascii="Arial" w:hAnsi="Arial" w:cs="Arial"/>
                <w:szCs w:val="22"/>
              </w:rPr>
              <w:t>Vahe Hovhannisyan – National Coordinator</w:t>
            </w:r>
          </w:p>
        </w:tc>
      </w:tr>
      <w:tr w:rsidR="009545C3" w:rsidRPr="001803FA" w14:paraId="7C4D3C0C" w14:textId="77777777" w:rsidTr="00F528C6">
        <w:trPr>
          <w:trHeight w:val="255"/>
        </w:trPr>
        <w:tc>
          <w:tcPr>
            <w:tcW w:w="1132" w:type="dxa"/>
          </w:tcPr>
          <w:p w14:paraId="43C8705B" w14:textId="77777777" w:rsidR="009545C3" w:rsidRPr="008D1BE1" w:rsidRDefault="009545C3" w:rsidP="00F528C6">
            <w:pPr>
              <w:rPr>
                <w:rFonts w:cs="Arial"/>
                <w:lang w:val="en-GB" w:eastAsia="en-GB"/>
              </w:rPr>
            </w:pPr>
            <w:r>
              <w:rPr>
                <w:rFonts w:cs="Arial"/>
                <w:lang w:val="en-GB" w:eastAsia="en-GB"/>
              </w:rPr>
              <w:t>21-12-17</w:t>
            </w:r>
          </w:p>
        </w:tc>
        <w:tc>
          <w:tcPr>
            <w:tcW w:w="1688" w:type="dxa"/>
            <w:noWrap/>
          </w:tcPr>
          <w:p w14:paraId="7B8B29BF" w14:textId="77777777" w:rsidR="009545C3" w:rsidRPr="008D1BE1" w:rsidRDefault="009545C3" w:rsidP="00F528C6">
            <w:pPr>
              <w:rPr>
                <w:rFonts w:cs="Arial"/>
                <w:lang w:val="en-GB" w:eastAsia="en-GB"/>
              </w:rPr>
            </w:pPr>
            <w:r>
              <w:rPr>
                <w:rFonts w:cs="Arial"/>
                <w:lang w:val="en-GB" w:eastAsia="en-GB"/>
              </w:rPr>
              <w:t>ICD, MoF</w:t>
            </w:r>
          </w:p>
        </w:tc>
        <w:tc>
          <w:tcPr>
            <w:tcW w:w="5460" w:type="dxa"/>
            <w:noWrap/>
          </w:tcPr>
          <w:p w14:paraId="24CD8AA9" w14:textId="77777777" w:rsidR="009545C3" w:rsidRPr="00E264B4" w:rsidRDefault="009545C3" w:rsidP="00F528C6">
            <w:pPr>
              <w:pStyle w:val="Bullet2"/>
              <w:rPr>
                <w:rFonts w:ascii="Arial" w:hAnsi="Arial" w:cs="Arial"/>
                <w:szCs w:val="22"/>
              </w:rPr>
            </w:pPr>
            <w:r>
              <w:rPr>
                <w:rFonts w:ascii="Arial" w:hAnsi="Arial" w:cs="Arial"/>
                <w:szCs w:val="22"/>
              </w:rPr>
              <w:t>Argam Aramyan – Head.</w:t>
            </w:r>
          </w:p>
        </w:tc>
      </w:tr>
      <w:tr w:rsidR="009545C3" w:rsidRPr="001803FA" w14:paraId="17889801" w14:textId="77777777" w:rsidTr="00F528C6">
        <w:trPr>
          <w:trHeight w:val="255"/>
        </w:trPr>
        <w:tc>
          <w:tcPr>
            <w:tcW w:w="1132" w:type="dxa"/>
          </w:tcPr>
          <w:p w14:paraId="3A05A394" w14:textId="77777777" w:rsidR="009545C3" w:rsidRDefault="009545C3" w:rsidP="00F528C6">
            <w:pPr>
              <w:rPr>
                <w:rFonts w:cs="Arial"/>
                <w:lang w:val="en-GB" w:eastAsia="en-GB"/>
              </w:rPr>
            </w:pPr>
            <w:r>
              <w:rPr>
                <w:rFonts w:cs="Arial"/>
                <w:lang w:val="en-GB" w:eastAsia="en-GB"/>
              </w:rPr>
              <w:t>22-12-17</w:t>
            </w:r>
          </w:p>
        </w:tc>
        <w:tc>
          <w:tcPr>
            <w:tcW w:w="1688" w:type="dxa"/>
            <w:noWrap/>
          </w:tcPr>
          <w:p w14:paraId="05612B21" w14:textId="77777777" w:rsidR="009545C3" w:rsidRDefault="009545C3" w:rsidP="00F528C6">
            <w:pPr>
              <w:rPr>
                <w:rFonts w:cs="Arial"/>
                <w:lang w:val="en-GB" w:eastAsia="en-GB"/>
              </w:rPr>
            </w:pPr>
            <w:r>
              <w:rPr>
                <w:rFonts w:cs="Arial"/>
                <w:lang w:val="en-GB" w:eastAsia="en-GB"/>
              </w:rPr>
              <w:t>ADB Resident Office</w:t>
            </w:r>
          </w:p>
        </w:tc>
        <w:tc>
          <w:tcPr>
            <w:tcW w:w="5460" w:type="dxa"/>
            <w:noWrap/>
          </w:tcPr>
          <w:p w14:paraId="7BC0339A" w14:textId="77777777" w:rsidR="009545C3" w:rsidRDefault="009545C3" w:rsidP="00F528C6">
            <w:pPr>
              <w:pStyle w:val="Bullet2"/>
              <w:rPr>
                <w:rFonts w:ascii="Arial" w:hAnsi="Arial" w:cs="Arial"/>
                <w:szCs w:val="22"/>
              </w:rPr>
            </w:pPr>
            <w:r>
              <w:rPr>
                <w:rFonts w:ascii="Arial" w:hAnsi="Arial" w:cs="Arial"/>
                <w:szCs w:val="22"/>
              </w:rPr>
              <w:t>Vahe Hovhannisyan – National Coordinator.</w:t>
            </w:r>
          </w:p>
        </w:tc>
      </w:tr>
    </w:tbl>
    <w:p w14:paraId="6E3C17FB" w14:textId="77777777" w:rsidR="009545C3" w:rsidRPr="001803FA" w:rsidRDefault="009545C3" w:rsidP="009545C3">
      <w:pPr>
        <w:rPr>
          <w:rFonts w:cs="Arial"/>
        </w:rPr>
      </w:pPr>
    </w:p>
    <w:p w14:paraId="074CBC8E" w14:textId="77777777" w:rsidR="00C61D8E" w:rsidRDefault="009545C3" w:rsidP="009545C3">
      <w:pPr>
        <w:pStyle w:val="Caption"/>
        <w:rPr>
          <w:rFonts w:ascii="Arial" w:hAnsi="Arial" w:cs="Arial"/>
          <w:u w:val="none"/>
          <w:lang w:val="en-GB"/>
        </w:rPr>
      </w:pPr>
      <w:r>
        <w:rPr>
          <w:rFonts w:ascii="Arial" w:hAnsi="Arial" w:cs="Arial"/>
          <w:u w:val="none"/>
          <w:lang w:val="en-GB"/>
        </w:rPr>
        <w:t xml:space="preserve">    </w:t>
      </w:r>
    </w:p>
    <w:p w14:paraId="26FD0AC3" w14:textId="77777777" w:rsidR="00C61D8E" w:rsidRDefault="00C61D8E">
      <w:pPr>
        <w:rPr>
          <w:rFonts w:eastAsia="Times New Roman" w:cs="Arial"/>
          <w:b/>
          <w:bCs/>
          <w:lang w:val="en-GB" w:eastAsia="en-US"/>
        </w:rPr>
      </w:pPr>
      <w:r>
        <w:rPr>
          <w:rFonts w:cs="Arial"/>
          <w:lang w:val="en-GB"/>
        </w:rPr>
        <w:br w:type="page"/>
      </w:r>
    </w:p>
    <w:p w14:paraId="1270EC2D" w14:textId="218B2C13" w:rsidR="009545C3" w:rsidRPr="00B148B3" w:rsidRDefault="009545C3" w:rsidP="009545C3">
      <w:pPr>
        <w:pStyle w:val="Caption"/>
        <w:rPr>
          <w:rFonts w:ascii="Arial" w:hAnsi="Arial" w:cs="Arial"/>
          <w:b w:val="0"/>
          <w:u w:val="none"/>
          <w:lang w:val="en-GB"/>
        </w:rPr>
      </w:pPr>
      <w:r w:rsidRPr="00B148B3">
        <w:rPr>
          <w:rFonts w:ascii="Arial" w:hAnsi="Arial" w:cs="Arial"/>
          <w:b w:val="0"/>
          <w:u w:val="none"/>
          <w:lang w:val="en-GB"/>
        </w:rPr>
        <w:lastRenderedPageBreak/>
        <w:t xml:space="preserve">Table </w:t>
      </w:r>
      <w:r w:rsidR="00A44065">
        <w:rPr>
          <w:rFonts w:ascii="Arial" w:hAnsi="Arial" w:cs="Arial"/>
          <w:b w:val="0"/>
          <w:u w:val="none"/>
          <w:lang w:val="en-GB"/>
        </w:rPr>
        <w:t>14</w:t>
      </w:r>
      <w:r w:rsidRPr="00B148B3">
        <w:rPr>
          <w:rFonts w:ascii="Arial" w:hAnsi="Arial" w:cs="Arial"/>
          <w:b w:val="0"/>
          <w:u w:val="none"/>
          <w:lang w:val="en-GB"/>
        </w:rPr>
        <w:t>:</w:t>
      </w:r>
      <w:r w:rsidRPr="00B148B3">
        <w:rPr>
          <w:rFonts w:ascii="Arial" w:hAnsi="Arial" w:cs="Arial"/>
          <w:b w:val="0"/>
          <w:u w:val="none"/>
          <w:lang w:val="en-GB"/>
        </w:rPr>
        <w:tab/>
        <w:t>List of Documents Received</w:t>
      </w:r>
    </w:p>
    <w:tbl>
      <w:tblPr>
        <w:tblW w:w="82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1688"/>
        <w:gridCol w:w="6592"/>
      </w:tblGrid>
      <w:tr w:rsidR="009545C3" w:rsidRPr="001803FA" w14:paraId="38715C7C" w14:textId="77777777" w:rsidTr="00F528C6">
        <w:trPr>
          <w:trHeight w:val="255"/>
          <w:tblHeader/>
        </w:trPr>
        <w:tc>
          <w:tcPr>
            <w:tcW w:w="1688" w:type="dxa"/>
            <w:shd w:val="clear" w:color="auto" w:fill="E0E0E0"/>
            <w:noWrap/>
            <w:vAlign w:val="bottom"/>
          </w:tcPr>
          <w:p w14:paraId="112134B8" w14:textId="77777777" w:rsidR="009545C3" w:rsidRPr="001803FA" w:rsidRDefault="009545C3" w:rsidP="00F528C6">
            <w:pPr>
              <w:rPr>
                <w:rFonts w:cs="Arial"/>
                <w:b/>
                <w:lang w:val="en-GB" w:eastAsia="en-GB"/>
              </w:rPr>
            </w:pPr>
            <w:r w:rsidRPr="001803FA">
              <w:rPr>
                <w:rFonts w:cs="Arial"/>
                <w:b/>
                <w:lang w:val="en-GB" w:eastAsia="en-GB"/>
              </w:rPr>
              <w:t>Institution</w:t>
            </w:r>
          </w:p>
        </w:tc>
        <w:tc>
          <w:tcPr>
            <w:tcW w:w="6592" w:type="dxa"/>
            <w:shd w:val="clear" w:color="auto" w:fill="E0E0E0"/>
            <w:noWrap/>
            <w:vAlign w:val="bottom"/>
          </w:tcPr>
          <w:p w14:paraId="41F03D6D" w14:textId="77777777" w:rsidR="009545C3" w:rsidRPr="001803FA" w:rsidRDefault="009545C3" w:rsidP="00F528C6">
            <w:pPr>
              <w:rPr>
                <w:rFonts w:cs="Arial"/>
                <w:b/>
                <w:lang w:val="en-GB" w:eastAsia="en-GB"/>
              </w:rPr>
            </w:pPr>
            <w:r w:rsidRPr="001803FA">
              <w:rPr>
                <w:rFonts w:cs="Arial"/>
                <w:b/>
                <w:lang w:val="en-GB" w:eastAsia="en-GB"/>
              </w:rPr>
              <w:t xml:space="preserve">Documents Received </w:t>
            </w:r>
          </w:p>
        </w:tc>
      </w:tr>
      <w:tr w:rsidR="009545C3" w:rsidRPr="001803FA" w14:paraId="29C12E0A" w14:textId="77777777" w:rsidTr="00F528C6">
        <w:trPr>
          <w:trHeight w:val="255"/>
        </w:trPr>
        <w:tc>
          <w:tcPr>
            <w:tcW w:w="1688" w:type="dxa"/>
            <w:noWrap/>
          </w:tcPr>
          <w:p w14:paraId="6FF5CB60" w14:textId="77777777" w:rsidR="009545C3" w:rsidRPr="008D1BE1" w:rsidRDefault="009545C3" w:rsidP="00F528C6">
            <w:pPr>
              <w:jc w:val="center"/>
              <w:rPr>
                <w:rFonts w:cs="Arial"/>
                <w:lang w:val="en-GB" w:eastAsia="en-GB"/>
              </w:rPr>
            </w:pPr>
            <w:r>
              <w:rPr>
                <w:rFonts w:cs="Arial"/>
                <w:lang w:val="en-GB" w:eastAsia="en-GB"/>
              </w:rPr>
              <w:t>PDMD</w:t>
            </w:r>
          </w:p>
        </w:tc>
        <w:tc>
          <w:tcPr>
            <w:tcW w:w="6592" w:type="dxa"/>
            <w:noWrap/>
            <w:vAlign w:val="bottom"/>
          </w:tcPr>
          <w:p w14:paraId="438802E8"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Medium-term Debt Management Strategy, various issues;</w:t>
            </w:r>
          </w:p>
          <w:p w14:paraId="53E460D0"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Annual Report on Public Debt Management, various issues;</w:t>
            </w:r>
          </w:p>
          <w:p w14:paraId="7B62DFEE"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State Budget Message on Public Debt Management, various issues;</w:t>
            </w:r>
          </w:p>
          <w:p w14:paraId="1B359B88"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Debt Bulletin, various issues;</w:t>
            </w:r>
          </w:p>
          <w:p w14:paraId="729C83CC"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Government of the Republic of Armenia Decree, 13 April 2017;</w:t>
            </w:r>
          </w:p>
          <w:p w14:paraId="79792FAD"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Monthly Issuance, various issues downloaded from website;</w:t>
            </w:r>
          </w:p>
          <w:p w14:paraId="392708BE"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Issuance Auction Calendar, 2018</w:t>
            </w:r>
          </w:p>
          <w:p w14:paraId="29873578"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List of Benchmark Bonds, various issues downloaded from website;</w:t>
            </w:r>
          </w:p>
          <w:p w14:paraId="431B0B45"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Government Treasury Securities Auction Results, various issues downloaded from website;</w:t>
            </w:r>
          </w:p>
          <w:p w14:paraId="7F8C2543"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Monthly Report of Government Treasury Securities, various issues downloaded from website;</w:t>
            </w:r>
          </w:p>
          <w:p w14:paraId="3E7E7B51"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External Loans, Terms and Conditions, 31-12-2016;</w:t>
            </w:r>
          </w:p>
          <w:p w14:paraId="154DB58F"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Procedure for the Processing of External Loans / Credits Disbursements, 06-01-2017;</w:t>
            </w:r>
          </w:p>
          <w:p w14:paraId="613AEE56"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Procedure for RA Government External Debt Service, August 29, 2017;</w:t>
            </w:r>
          </w:p>
          <w:p w14:paraId="2CD64CB5"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szCs w:val="22"/>
              </w:rPr>
              <w:t>Procedure for Recording and Servicing State Treasury Securities, August 29, 2017;</w:t>
            </w:r>
          </w:p>
          <w:p w14:paraId="34499213" w14:textId="77777777" w:rsidR="009545C3" w:rsidRPr="00EF1D9E" w:rsidRDefault="009545C3" w:rsidP="009545C3">
            <w:pPr>
              <w:pStyle w:val="Bullet2"/>
              <w:numPr>
                <w:ilvl w:val="0"/>
                <w:numId w:val="4"/>
              </w:numPr>
              <w:rPr>
                <w:rFonts w:ascii="Arial" w:hAnsi="Arial" w:cs="Arial"/>
                <w:szCs w:val="22"/>
              </w:rPr>
            </w:pPr>
            <w:r w:rsidRPr="00EF1D9E">
              <w:rPr>
                <w:rFonts w:ascii="Arial" w:hAnsi="Arial" w:cs="Arial"/>
              </w:rPr>
              <w:t>Basic Principles of Issue and Repurchase of Government Treasury Bonds and Calendar of Auctioned Auctions in 2018, December 2017:</w:t>
            </w:r>
          </w:p>
          <w:p w14:paraId="05759FF9" w14:textId="77777777" w:rsidR="009545C3" w:rsidRDefault="009545C3" w:rsidP="009545C3">
            <w:pPr>
              <w:pStyle w:val="Bullet2"/>
              <w:numPr>
                <w:ilvl w:val="0"/>
                <w:numId w:val="4"/>
              </w:numPr>
              <w:rPr>
                <w:rFonts w:ascii="Arial" w:hAnsi="Arial" w:cs="Arial"/>
                <w:szCs w:val="22"/>
              </w:rPr>
            </w:pPr>
            <w:r>
              <w:rPr>
                <w:rFonts w:ascii="Arial" w:hAnsi="Arial" w:cs="Arial"/>
                <w:szCs w:val="22"/>
              </w:rPr>
              <w:t>State Debt Law, May 26, 2008;</w:t>
            </w:r>
          </w:p>
          <w:p w14:paraId="0C86C85C" w14:textId="77777777" w:rsidR="009545C3" w:rsidRPr="00EF1D9E" w:rsidRDefault="009545C3" w:rsidP="009545C3">
            <w:pPr>
              <w:pStyle w:val="Bullet2"/>
              <w:numPr>
                <w:ilvl w:val="0"/>
                <w:numId w:val="4"/>
              </w:numPr>
              <w:rPr>
                <w:rFonts w:ascii="Arial" w:hAnsi="Arial" w:cs="Arial"/>
                <w:szCs w:val="22"/>
              </w:rPr>
            </w:pPr>
            <w:r>
              <w:rPr>
                <w:rFonts w:ascii="Arial" w:hAnsi="Arial" w:cs="Arial"/>
                <w:szCs w:val="22"/>
              </w:rPr>
              <w:t>Decisions on State Treasury Bonds, April 13, 2017.</w:t>
            </w:r>
            <w:r w:rsidRPr="00EF1D9E">
              <w:rPr>
                <w:rFonts w:ascii="Arial" w:hAnsi="Arial" w:cs="Arial"/>
                <w:szCs w:val="22"/>
              </w:rPr>
              <w:t xml:space="preserve">    </w:t>
            </w:r>
          </w:p>
        </w:tc>
      </w:tr>
      <w:tr w:rsidR="009545C3" w:rsidRPr="001803FA" w14:paraId="4FB6DCE7" w14:textId="77777777" w:rsidTr="00F528C6">
        <w:trPr>
          <w:trHeight w:val="255"/>
        </w:trPr>
        <w:tc>
          <w:tcPr>
            <w:tcW w:w="1688" w:type="dxa"/>
            <w:noWrap/>
          </w:tcPr>
          <w:p w14:paraId="73100D72" w14:textId="77777777" w:rsidR="009545C3" w:rsidRDefault="009545C3" w:rsidP="00F528C6">
            <w:pPr>
              <w:jc w:val="center"/>
              <w:rPr>
                <w:rFonts w:cs="Arial"/>
                <w:lang w:val="en-GB" w:eastAsia="en-GB"/>
              </w:rPr>
            </w:pPr>
            <w:r>
              <w:rPr>
                <w:rFonts w:cs="Arial"/>
                <w:lang w:val="en-GB" w:eastAsia="en-GB"/>
              </w:rPr>
              <w:t>Ministry of Finance</w:t>
            </w:r>
          </w:p>
        </w:tc>
        <w:tc>
          <w:tcPr>
            <w:tcW w:w="6592" w:type="dxa"/>
            <w:noWrap/>
          </w:tcPr>
          <w:p w14:paraId="49E0CA1F" w14:textId="77777777" w:rsidR="009545C3" w:rsidRPr="00252004" w:rsidRDefault="009545C3" w:rsidP="00F528C6">
            <w:pPr>
              <w:pStyle w:val="Bullet2"/>
              <w:rPr>
                <w:rFonts w:ascii="Arial" w:hAnsi="Arial" w:cs="Arial"/>
                <w:szCs w:val="22"/>
              </w:rPr>
            </w:pPr>
            <w:r>
              <w:rPr>
                <w:rFonts w:ascii="Arial" w:hAnsi="Arial" w:cs="Arial"/>
                <w:szCs w:val="22"/>
              </w:rPr>
              <w:t>State Budget of the Republic of Armenia, 2018, December 2017.</w:t>
            </w:r>
          </w:p>
        </w:tc>
      </w:tr>
      <w:tr w:rsidR="009545C3" w:rsidRPr="001803FA" w14:paraId="3A46CF51" w14:textId="77777777" w:rsidTr="00F528C6">
        <w:trPr>
          <w:trHeight w:val="255"/>
        </w:trPr>
        <w:tc>
          <w:tcPr>
            <w:tcW w:w="1688" w:type="dxa"/>
            <w:noWrap/>
          </w:tcPr>
          <w:p w14:paraId="35457B5C" w14:textId="77777777" w:rsidR="009545C3" w:rsidRPr="008D1BE1" w:rsidRDefault="009545C3" w:rsidP="00F528C6">
            <w:pPr>
              <w:jc w:val="center"/>
              <w:rPr>
                <w:rFonts w:cs="Arial"/>
                <w:lang w:val="en-GB" w:eastAsia="en-GB"/>
              </w:rPr>
            </w:pPr>
            <w:r>
              <w:rPr>
                <w:rFonts w:cs="Arial"/>
                <w:lang w:val="en-GB" w:eastAsia="en-GB"/>
              </w:rPr>
              <w:t>CBA</w:t>
            </w:r>
          </w:p>
        </w:tc>
        <w:tc>
          <w:tcPr>
            <w:tcW w:w="6592" w:type="dxa"/>
            <w:noWrap/>
          </w:tcPr>
          <w:p w14:paraId="459A5269" w14:textId="77777777" w:rsidR="009545C3" w:rsidRPr="00252004" w:rsidRDefault="009545C3" w:rsidP="00F528C6">
            <w:pPr>
              <w:pStyle w:val="Bullet2"/>
              <w:rPr>
                <w:rFonts w:ascii="Arial" w:hAnsi="Arial" w:cs="Arial"/>
                <w:szCs w:val="22"/>
              </w:rPr>
            </w:pPr>
            <w:r w:rsidRPr="00252004">
              <w:rPr>
                <w:rFonts w:ascii="Arial" w:hAnsi="Arial" w:cs="Arial"/>
                <w:szCs w:val="22"/>
              </w:rPr>
              <w:t>Inflation Report, November 24, 2017;</w:t>
            </w:r>
          </w:p>
          <w:p w14:paraId="4C5865C1" w14:textId="77777777" w:rsidR="009545C3" w:rsidRDefault="009545C3" w:rsidP="00F528C6">
            <w:pPr>
              <w:pStyle w:val="Bullet2"/>
              <w:rPr>
                <w:rFonts w:ascii="Arial" w:hAnsi="Arial" w:cs="Arial"/>
                <w:szCs w:val="22"/>
              </w:rPr>
            </w:pPr>
            <w:r w:rsidRPr="00252004">
              <w:rPr>
                <w:rFonts w:ascii="Arial" w:hAnsi="Arial" w:cs="Arial"/>
                <w:szCs w:val="22"/>
              </w:rPr>
              <w:t>Financial Stability Report 2016, 2017</w:t>
            </w:r>
            <w:r>
              <w:rPr>
                <w:rFonts w:ascii="Arial" w:hAnsi="Arial" w:cs="Arial"/>
                <w:szCs w:val="22"/>
              </w:rPr>
              <w:t>;</w:t>
            </w:r>
          </w:p>
          <w:p w14:paraId="76446E42" w14:textId="77777777" w:rsidR="009545C3" w:rsidRPr="00252004" w:rsidRDefault="009545C3" w:rsidP="00F528C6">
            <w:pPr>
              <w:pStyle w:val="Bullet2"/>
              <w:rPr>
                <w:rFonts w:ascii="Arial" w:hAnsi="Arial" w:cs="Arial"/>
                <w:szCs w:val="22"/>
              </w:rPr>
            </w:pPr>
            <w:r>
              <w:rPr>
                <w:rFonts w:ascii="Arial" w:hAnsi="Arial" w:cs="Arial"/>
                <w:szCs w:val="22"/>
              </w:rPr>
              <w:t>Yield Curve, downloaded from website.</w:t>
            </w:r>
          </w:p>
        </w:tc>
      </w:tr>
      <w:tr w:rsidR="009545C3" w:rsidRPr="001803FA" w14:paraId="4E40D4E1" w14:textId="77777777" w:rsidTr="00F528C6">
        <w:trPr>
          <w:trHeight w:val="255"/>
        </w:trPr>
        <w:tc>
          <w:tcPr>
            <w:tcW w:w="1688" w:type="dxa"/>
            <w:noWrap/>
          </w:tcPr>
          <w:p w14:paraId="498C1B49" w14:textId="77777777" w:rsidR="009545C3" w:rsidRPr="008D1BE1" w:rsidRDefault="009545C3" w:rsidP="00F528C6">
            <w:pPr>
              <w:jc w:val="center"/>
              <w:rPr>
                <w:rFonts w:cs="Arial"/>
                <w:lang w:val="en-GB" w:eastAsia="en-GB"/>
              </w:rPr>
            </w:pPr>
            <w:r>
              <w:rPr>
                <w:rFonts w:cs="Arial"/>
                <w:lang w:val="en-GB" w:eastAsia="en-GB"/>
              </w:rPr>
              <w:t>NASDAQ-OMX</w:t>
            </w:r>
          </w:p>
        </w:tc>
        <w:tc>
          <w:tcPr>
            <w:tcW w:w="6592" w:type="dxa"/>
            <w:noWrap/>
          </w:tcPr>
          <w:p w14:paraId="1EFF9697" w14:textId="77777777" w:rsidR="009545C3" w:rsidRDefault="009545C3" w:rsidP="00F528C6">
            <w:pPr>
              <w:pStyle w:val="Bullet2"/>
              <w:rPr>
                <w:rFonts w:ascii="Arial" w:hAnsi="Arial" w:cs="Arial"/>
              </w:rPr>
            </w:pPr>
            <w:r>
              <w:rPr>
                <w:rFonts w:ascii="Arial" w:hAnsi="Arial" w:cs="Arial"/>
              </w:rPr>
              <w:t>Data on Trading on Government Securities downloaded from its website.</w:t>
            </w:r>
          </w:p>
        </w:tc>
      </w:tr>
      <w:tr w:rsidR="009545C3" w:rsidRPr="001803FA" w14:paraId="665CD3A3" w14:textId="77777777" w:rsidTr="00F528C6">
        <w:trPr>
          <w:trHeight w:val="255"/>
        </w:trPr>
        <w:tc>
          <w:tcPr>
            <w:tcW w:w="1688" w:type="dxa"/>
            <w:noWrap/>
          </w:tcPr>
          <w:p w14:paraId="28339428" w14:textId="77777777" w:rsidR="009545C3" w:rsidRDefault="009545C3" w:rsidP="00F528C6">
            <w:pPr>
              <w:jc w:val="center"/>
              <w:rPr>
                <w:rFonts w:cs="Arial"/>
                <w:lang w:val="en-GB" w:eastAsia="en-GB"/>
              </w:rPr>
            </w:pPr>
            <w:r>
              <w:rPr>
                <w:rFonts w:cs="Arial"/>
                <w:lang w:val="en-GB" w:eastAsia="en-GB"/>
              </w:rPr>
              <w:t>IMF</w:t>
            </w:r>
          </w:p>
        </w:tc>
        <w:tc>
          <w:tcPr>
            <w:tcW w:w="6592" w:type="dxa"/>
            <w:noWrap/>
          </w:tcPr>
          <w:p w14:paraId="5DC782E5" w14:textId="77777777" w:rsidR="009545C3" w:rsidRDefault="009545C3" w:rsidP="00F528C6">
            <w:pPr>
              <w:pStyle w:val="Bullet2"/>
              <w:rPr>
                <w:rFonts w:ascii="Arial" w:hAnsi="Arial" w:cs="Arial"/>
              </w:rPr>
            </w:pPr>
            <w:r>
              <w:rPr>
                <w:rFonts w:ascii="Arial" w:hAnsi="Arial" w:cs="Arial"/>
              </w:rPr>
              <w:t>Armenia: Technical Assistance Report – Upgrading Fiscal Rules, October 2017;</w:t>
            </w:r>
          </w:p>
          <w:p w14:paraId="49F56627" w14:textId="77777777" w:rsidR="009545C3" w:rsidRDefault="009545C3" w:rsidP="00F528C6">
            <w:pPr>
              <w:pStyle w:val="Bullet2"/>
              <w:rPr>
                <w:rFonts w:ascii="Arial" w:hAnsi="Arial" w:cs="Arial"/>
              </w:rPr>
            </w:pPr>
            <w:r>
              <w:rPr>
                <w:rFonts w:ascii="Arial" w:hAnsi="Arial" w:cs="Arial"/>
              </w:rPr>
              <w:t>Article IV Consultation Report, July 2017.</w:t>
            </w:r>
          </w:p>
        </w:tc>
      </w:tr>
      <w:tr w:rsidR="009545C3" w:rsidRPr="001803FA" w14:paraId="05BEA0C5" w14:textId="77777777" w:rsidTr="00F528C6">
        <w:trPr>
          <w:trHeight w:val="255"/>
        </w:trPr>
        <w:tc>
          <w:tcPr>
            <w:tcW w:w="1688" w:type="dxa"/>
            <w:noWrap/>
          </w:tcPr>
          <w:p w14:paraId="122FFC85" w14:textId="77777777" w:rsidR="009545C3" w:rsidRDefault="009545C3" w:rsidP="00F528C6">
            <w:pPr>
              <w:jc w:val="center"/>
              <w:rPr>
                <w:rFonts w:cs="Arial"/>
                <w:lang w:val="en-GB" w:eastAsia="en-GB"/>
              </w:rPr>
            </w:pPr>
            <w:r>
              <w:rPr>
                <w:rFonts w:cs="Arial"/>
                <w:lang w:val="en-GB" w:eastAsia="en-GB"/>
              </w:rPr>
              <w:t>European Commission</w:t>
            </w:r>
          </w:p>
        </w:tc>
        <w:tc>
          <w:tcPr>
            <w:tcW w:w="6592" w:type="dxa"/>
            <w:noWrap/>
          </w:tcPr>
          <w:p w14:paraId="55F727CC" w14:textId="77777777" w:rsidR="009545C3" w:rsidRDefault="009545C3" w:rsidP="00F528C6">
            <w:pPr>
              <w:pStyle w:val="Bullet2"/>
              <w:rPr>
                <w:rFonts w:ascii="Arial" w:hAnsi="Arial" w:cs="Arial"/>
              </w:rPr>
            </w:pPr>
            <w:r>
              <w:rPr>
                <w:rFonts w:ascii="Arial" w:hAnsi="Arial" w:cs="Arial"/>
              </w:rPr>
              <w:t>Description, Assessment and Reforms on Three Components of the Programme, October 2016;</w:t>
            </w:r>
          </w:p>
        </w:tc>
      </w:tr>
      <w:tr w:rsidR="009545C3" w:rsidRPr="001803FA" w14:paraId="572A10E8" w14:textId="77777777" w:rsidTr="00F528C6">
        <w:trPr>
          <w:trHeight w:val="255"/>
        </w:trPr>
        <w:tc>
          <w:tcPr>
            <w:tcW w:w="1688" w:type="dxa"/>
            <w:noWrap/>
          </w:tcPr>
          <w:p w14:paraId="7D2A4901" w14:textId="77777777" w:rsidR="009545C3" w:rsidRDefault="009545C3" w:rsidP="00F528C6">
            <w:pPr>
              <w:jc w:val="center"/>
              <w:rPr>
                <w:rFonts w:cs="Arial"/>
                <w:lang w:val="en-GB" w:eastAsia="en-GB"/>
              </w:rPr>
            </w:pPr>
            <w:r>
              <w:rPr>
                <w:rFonts w:cs="Arial"/>
                <w:lang w:val="en-GB" w:eastAsia="en-GB"/>
              </w:rPr>
              <w:lastRenderedPageBreak/>
              <w:t>The World Bank</w:t>
            </w:r>
          </w:p>
        </w:tc>
        <w:tc>
          <w:tcPr>
            <w:tcW w:w="6592" w:type="dxa"/>
            <w:noWrap/>
          </w:tcPr>
          <w:p w14:paraId="5A3FA858" w14:textId="77777777" w:rsidR="009545C3" w:rsidRDefault="009545C3" w:rsidP="00F528C6">
            <w:pPr>
              <w:pStyle w:val="Bullet2"/>
              <w:rPr>
                <w:rFonts w:ascii="Arial" w:hAnsi="Arial" w:cs="Arial"/>
              </w:rPr>
            </w:pPr>
            <w:r>
              <w:rPr>
                <w:rFonts w:ascii="Arial" w:hAnsi="Arial" w:cs="Arial"/>
              </w:rPr>
              <w:t>Debt Management Performance Assessment for Armenia, November 2013</w:t>
            </w:r>
          </w:p>
        </w:tc>
      </w:tr>
      <w:tr w:rsidR="009545C3" w:rsidRPr="001803FA" w14:paraId="21F28A36" w14:textId="77777777" w:rsidTr="00F528C6">
        <w:trPr>
          <w:trHeight w:val="255"/>
        </w:trPr>
        <w:tc>
          <w:tcPr>
            <w:tcW w:w="1688" w:type="dxa"/>
            <w:noWrap/>
          </w:tcPr>
          <w:p w14:paraId="03D7856D" w14:textId="77777777" w:rsidR="009545C3" w:rsidRDefault="009545C3" w:rsidP="00F528C6">
            <w:pPr>
              <w:jc w:val="center"/>
              <w:rPr>
                <w:rFonts w:cs="Arial"/>
                <w:lang w:val="en-GB" w:eastAsia="en-GB"/>
              </w:rPr>
            </w:pPr>
            <w:r>
              <w:rPr>
                <w:rFonts w:cs="Arial"/>
                <w:lang w:val="en-GB" w:eastAsia="en-GB"/>
              </w:rPr>
              <w:t>PEFA Secretariat</w:t>
            </w:r>
          </w:p>
        </w:tc>
        <w:tc>
          <w:tcPr>
            <w:tcW w:w="6592" w:type="dxa"/>
            <w:noWrap/>
          </w:tcPr>
          <w:p w14:paraId="7E2664B6" w14:textId="77777777" w:rsidR="009545C3" w:rsidRDefault="009545C3" w:rsidP="00F528C6">
            <w:pPr>
              <w:pStyle w:val="Bullet2"/>
              <w:rPr>
                <w:rFonts w:ascii="Arial" w:hAnsi="Arial" w:cs="Arial"/>
              </w:rPr>
            </w:pPr>
            <w:r>
              <w:rPr>
                <w:rFonts w:ascii="Arial" w:hAnsi="Arial" w:cs="Arial"/>
              </w:rPr>
              <w:t>Republic of Armenia, Public Expenditure and Financial Accountability (PEFA) Assessment, 2013, May 2014</w:t>
            </w:r>
          </w:p>
        </w:tc>
      </w:tr>
    </w:tbl>
    <w:p w14:paraId="70AD0943" w14:textId="77777777" w:rsidR="009545C3" w:rsidRDefault="009545C3" w:rsidP="009545C3">
      <w:pPr>
        <w:rPr>
          <w:rFonts w:cs="Arial"/>
          <w:b/>
          <w:noProof/>
          <w:lang w:eastAsia="en-US"/>
        </w:rPr>
      </w:pPr>
    </w:p>
    <w:p w14:paraId="394952C4" w14:textId="77777777" w:rsidR="009545C3" w:rsidRDefault="009545C3" w:rsidP="009545C3">
      <w:pPr>
        <w:rPr>
          <w:rFonts w:cs="Arial"/>
          <w:b/>
          <w:noProof/>
          <w:lang w:eastAsia="en-US"/>
        </w:rPr>
      </w:pPr>
    </w:p>
    <w:p w14:paraId="4CF8F3C2" w14:textId="77777777" w:rsidR="009545C3" w:rsidRDefault="009545C3" w:rsidP="009545C3">
      <w:pPr>
        <w:rPr>
          <w:rFonts w:cs="Arial"/>
          <w:b/>
          <w:noProof/>
          <w:lang w:eastAsia="en-US"/>
        </w:rPr>
      </w:pPr>
    </w:p>
    <w:p w14:paraId="05AC290E" w14:textId="77777777" w:rsidR="009545C3" w:rsidRDefault="009545C3" w:rsidP="009545C3">
      <w:pPr>
        <w:rPr>
          <w:rFonts w:cs="Arial"/>
          <w:b/>
          <w:noProof/>
          <w:lang w:eastAsia="en-US"/>
        </w:rPr>
      </w:pPr>
    </w:p>
    <w:p w14:paraId="1DAD5C98" w14:textId="77777777" w:rsidR="007A5BBD" w:rsidRDefault="007A5BBD">
      <w:pPr>
        <w:rPr>
          <w:rFonts w:cs="Arial"/>
          <w:b/>
          <w:noProof/>
          <w:u w:val="single"/>
          <w:lang w:eastAsia="en-US"/>
        </w:rPr>
      </w:pPr>
      <w:r>
        <w:rPr>
          <w:rFonts w:cs="Arial"/>
          <w:b/>
          <w:noProof/>
          <w:u w:val="single"/>
          <w:lang w:eastAsia="en-US"/>
        </w:rPr>
        <w:br w:type="page"/>
      </w:r>
    </w:p>
    <w:p w14:paraId="38AFADD1" w14:textId="1775CFB0" w:rsidR="009545C3" w:rsidRPr="00D84E07" w:rsidRDefault="009545C3" w:rsidP="007A5BBD">
      <w:pPr>
        <w:pStyle w:val="Appendix"/>
      </w:pPr>
      <w:r w:rsidRPr="00D84E07">
        <w:rPr>
          <w:noProof/>
          <w:lang w:eastAsia="en-US"/>
        </w:rPr>
        <w:lastRenderedPageBreak/>
        <w:t>APPENDIX 1:</w:t>
      </w:r>
      <w:r w:rsidRPr="00D84E07">
        <w:t xml:space="preserve"> CONTRACT TERMS OF REFERENCE</w:t>
      </w:r>
    </w:p>
    <w:p w14:paraId="46ABF973" w14:textId="77777777" w:rsidR="009545C3" w:rsidRPr="001803FA" w:rsidRDefault="009545C3" w:rsidP="009545C3">
      <w:pPr>
        <w:rPr>
          <w:rFonts w:cs="Arial"/>
          <w:noProof/>
          <w:lang w:eastAsia="en-US"/>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961"/>
        <w:gridCol w:w="7245"/>
      </w:tblGrid>
      <w:tr w:rsidR="009545C3" w:rsidRPr="001803FA" w14:paraId="46CB24CF" w14:textId="77777777" w:rsidTr="004B20AD">
        <w:tc>
          <w:tcPr>
            <w:tcW w:w="1961" w:type="dxa"/>
          </w:tcPr>
          <w:p w14:paraId="4E8D9867" w14:textId="77777777" w:rsidR="009545C3" w:rsidRPr="008D1BE1" w:rsidRDefault="009545C3" w:rsidP="00F528C6">
            <w:pPr>
              <w:rPr>
                <w:rFonts w:cs="Arial"/>
                <w:lang w:val="en-GB"/>
              </w:rPr>
            </w:pPr>
            <w:r w:rsidRPr="008D1BE1">
              <w:rPr>
                <w:rFonts w:cs="Arial"/>
                <w:lang w:val="en-GB"/>
              </w:rPr>
              <w:t>Contract</w:t>
            </w:r>
          </w:p>
        </w:tc>
        <w:tc>
          <w:tcPr>
            <w:tcW w:w="7245" w:type="dxa"/>
            <w:vAlign w:val="center"/>
          </w:tcPr>
          <w:p w14:paraId="291C8947" w14:textId="77777777" w:rsidR="009545C3" w:rsidRPr="004E7951" w:rsidRDefault="009545C3" w:rsidP="00F528C6">
            <w:pPr>
              <w:widowControl w:val="0"/>
              <w:autoSpaceDE w:val="0"/>
              <w:autoSpaceDN w:val="0"/>
              <w:adjustRightInd w:val="0"/>
              <w:spacing w:after="240" w:line="340" w:lineRule="atLeast"/>
              <w:rPr>
                <w:rFonts w:cs="Arial"/>
              </w:rPr>
            </w:pPr>
            <w:r w:rsidRPr="004E7951">
              <w:rPr>
                <w:rFonts w:eastAsiaTheme="minorHAnsi" w:cs="Arial"/>
                <w:bCs/>
                <w:lang w:val="en-GB" w:eastAsia="en-US"/>
              </w:rPr>
              <w:t>136532-S95918</w:t>
            </w:r>
          </w:p>
        </w:tc>
      </w:tr>
      <w:tr w:rsidR="009545C3" w:rsidRPr="001803FA" w14:paraId="67156823" w14:textId="77777777" w:rsidTr="004B20AD">
        <w:tc>
          <w:tcPr>
            <w:tcW w:w="1961" w:type="dxa"/>
          </w:tcPr>
          <w:p w14:paraId="7A5005FE" w14:textId="77777777" w:rsidR="009545C3" w:rsidRPr="008D1BE1" w:rsidRDefault="009545C3" w:rsidP="00F528C6">
            <w:pPr>
              <w:rPr>
                <w:rFonts w:cs="Arial"/>
                <w:lang w:val="en-GB"/>
              </w:rPr>
            </w:pPr>
            <w:r w:rsidRPr="008D1BE1">
              <w:rPr>
                <w:rFonts w:cs="Arial"/>
                <w:lang w:val="en-GB"/>
              </w:rPr>
              <w:t>Project</w:t>
            </w:r>
          </w:p>
        </w:tc>
        <w:tc>
          <w:tcPr>
            <w:tcW w:w="7245" w:type="dxa"/>
            <w:vAlign w:val="center"/>
          </w:tcPr>
          <w:p w14:paraId="6B02D795" w14:textId="77777777" w:rsidR="009545C3" w:rsidRPr="00C569B2" w:rsidRDefault="009545C3" w:rsidP="00F528C6">
            <w:pPr>
              <w:autoSpaceDE w:val="0"/>
              <w:autoSpaceDN w:val="0"/>
              <w:adjustRightInd w:val="0"/>
              <w:rPr>
                <w:rFonts w:eastAsiaTheme="minorHAnsi" w:cs="Arial"/>
                <w:bCs/>
                <w:lang w:val="en-GB" w:eastAsia="en-US"/>
              </w:rPr>
            </w:pPr>
            <w:r w:rsidRPr="00C569B2">
              <w:rPr>
                <w:rFonts w:eastAsiaTheme="minorHAnsi" w:cs="Arial"/>
                <w:bCs/>
                <w:lang w:val="en-GB" w:eastAsia="en-US"/>
              </w:rPr>
              <w:t>TA-9332 ARM: Support to Public Efficiency and Financial Markets Program – (51060-001)</w:t>
            </w:r>
          </w:p>
        </w:tc>
      </w:tr>
      <w:tr w:rsidR="009545C3" w:rsidRPr="001803FA" w14:paraId="094A26B0" w14:textId="77777777" w:rsidTr="004B20AD">
        <w:tc>
          <w:tcPr>
            <w:tcW w:w="1961" w:type="dxa"/>
          </w:tcPr>
          <w:p w14:paraId="3B48EE0B" w14:textId="77777777" w:rsidR="009545C3" w:rsidRPr="008D1BE1" w:rsidRDefault="009545C3" w:rsidP="00F528C6">
            <w:pPr>
              <w:rPr>
                <w:rFonts w:cs="Arial"/>
                <w:lang w:val="en-GB"/>
              </w:rPr>
            </w:pPr>
            <w:r w:rsidRPr="008D1BE1">
              <w:rPr>
                <w:rFonts w:cs="Arial"/>
                <w:lang w:val="en-GB"/>
              </w:rPr>
              <w:t>Expertise</w:t>
            </w:r>
          </w:p>
        </w:tc>
        <w:tc>
          <w:tcPr>
            <w:tcW w:w="7245" w:type="dxa"/>
            <w:vAlign w:val="center"/>
          </w:tcPr>
          <w:p w14:paraId="77E0E1FA" w14:textId="77777777" w:rsidR="009545C3" w:rsidRPr="00931EDE" w:rsidRDefault="009545C3" w:rsidP="00F528C6">
            <w:pPr>
              <w:rPr>
                <w:rFonts w:cs="Arial"/>
                <w:lang w:val="en-GB"/>
              </w:rPr>
            </w:pPr>
            <w:r w:rsidRPr="00931EDE">
              <w:rPr>
                <w:rFonts w:cs="Arial"/>
              </w:rPr>
              <w:t>Public Debt Management Expert</w:t>
            </w:r>
            <w:r>
              <w:rPr>
                <w:rFonts w:cs="Arial"/>
              </w:rPr>
              <w:t xml:space="preserve"> </w:t>
            </w:r>
          </w:p>
        </w:tc>
      </w:tr>
      <w:tr w:rsidR="009545C3" w:rsidRPr="001803FA" w14:paraId="496D9584" w14:textId="77777777" w:rsidTr="004B20AD">
        <w:tc>
          <w:tcPr>
            <w:tcW w:w="1961" w:type="dxa"/>
          </w:tcPr>
          <w:p w14:paraId="7CBAF2F1" w14:textId="77777777" w:rsidR="009545C3" w:rsidRPr="008D1BE1" w:rsidRDefault="009545C3" w:rsidP="00F528C6">
            <w:pPr>
              <w:rPr>
                <w:rFonts w:cs="Arial"/>
                <w:lang w:val="en-GB"/>
              </w:rPr>
            </w:pPr>
            <w:r w:rsidRPr="008D1BE1">
              <w:rPr>
                <w:rFonts w:cs="Arial"/>
                <w:lang w:val="en-GB"/>
              </w:rPr>
              <w:t>Source</w:t>
            </w:r>
          </w:p>
        </w:tc>
        <w:tc>
          <w:tcPr>
            <w:tcW w:w="7245" w:type="dxa"/>
            <w:vAlign w:val="center"/>
          </w:tcPr>
          <w:p w14:paraId="2B0712EB" w14:textId="77777777" w:rsidR="009545C3" w:rsidRPr="00931EDE" w:rsidRDefault="009545C3" w:rsidP="00F528C6">
            <w:pPr>
              <w:rPr>
                <w:rFonts w:cs="Arial"/>
                <w:lang w:val="en-GB"/>
              </w:rPr>
            </w:pPr>
            <w:r w:rsidRPr="00931EDE">
              <w:rPr>
                <w:rFonts w:cs="Arial"/>
              </w:rPr>
              <w:t>International</w:t>
            </w:r>
          </w:p>
        </w:tc>
      </w:tr>
      <w:tr w:rsidR="004B20AD" w:rsidRPr="001803FA" w14:paraId="5A6521C8" w14:textId="77777777" w:rsidTr="002973B7">
        <w:tc>
          <w:tcPr>
            <w:tcW w:w="9206" w:type="dxa"/>
            <w:gridSpan w:val="2"/>
          </w:tcPr>
          <w:p w14:paraId="7E39C436" w14:textId="77777777" w:rsidR="004B20AD" w:rsidRDefault="004B20AD" w:rsidP="004B20AD">
            <w:pPr>
              <w:spacing w:before="120"/>
              <w:rPr>
                <w:rFonts w:cs="Arial"/>
                <w:b/>
                <w:lang w:val="en-GB"/>
              </w:rPr>
            </w:pPr>
            <w:r w:rsidRPr="008D1BE1">
              <w:rPr>
                <w:rFonts w:cs="Arial"/>
                <w:b/>
                <w:lang w:val="en-GB"/>
              </w:rPr>
              <w:t>Objective and Purpose of the Assignment:</w:t>
            </w:r>
          </w:p>
          <w:p w14:paraId="09295497" w14:textId="77777777" w:rsidR="004B20AD" w:rsidRPr="00C73F3D" w:rsidRDefault="004B20AD" w:rsidP="004B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C73F3D">
              <w:rPr>
                <w:rFonts w:eastAsia="Times New Roman" w:cs="Arial"/>
                <w:lang w:eastAsia="en-GB"/>
              </w:rPr>
              <w:t>The specialist will work closely with MOF’s public debt management department to improve operations and make practices and strategies more effective and market-development friendly. This will require close</w:t>
            </w:r>
            <w:r>
              <w:rPr>
                <w:rFonts w:eastAsia="Times New Roman" w:cs="Arial"/>
                <w:lang w:eastAsia="en-GB"/>
              </w:rPr>
              <w:t xml:space="preserve"> </w:t>
            </w:r>
            <w:r w:rsidRPr="00C73F3D">
              <w:rPr>
                <w:rFonts w:eastAsia="Times New Roman" w:cs="Arial"/>
                <w:lang w:eastAsia="en-GB"/>
              </w:rPr>
              <w:t>interaction with other departments in MOF and other ADB specialists supporting money and financial</w:t>
            </w:r>
            <w:r>
              <w:rPr>
                <w:rFonts w:eastAsia="Times New Roman" w:cs="Arial"/>
                <w:lang w:eastAsia="en-GB"/>
              </w:rPr>
              <w:t xml:space="preserve"> </w:t>
            </w:r>
            <w:r w:rsidRPr="00C73F3D">
              <w:rPr>
                <w:rFonts w:eastAsia="Times New Roman" w:cs="Arial"/>
                <w:lang w:eastAsia="en-GB"/>
              </w:rPr>
              <w:t>market markets reforms.</w:t>
            </w:r>
          </w:p>
          <w:p w14:paraId="119ED9D5" w14:textId="77777777" w:rsidR="004B20AD" w:rsidRDefault="004B20AD" w:rsidP="004B20AD">
            <w:pPr>
              <w:spacing w:before="120"/>
              <w:rPr>
                <w:rFonts w:cs="Arial"/>
                <w:b/>
                <w:lang w:val="en-GB"/>
              </w:rPr>
            </w:pPr>
            <w:r w:rsidRPr="008D1BE1">
              <w:rPr>
                <w:rFonts w:cs="Arial"/>
                <w:b/>
                <w:lang w:val="en-GB"/>
              </w:rPr>
              <w:t>Scope of Work:</w:t>
            </w:r>
          </w:p>
          <w:p w14:paraId="161783F8" w14:textId="77777777" w:rsidR="004B20AD" w:rsidRPr="00C73F3D" w:rsidRDefault="004B20AD" w:rsidP="004B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C73F3D">
              <w:rPr>
                <w:rFonts w:eastAsia="Times New Roman" w:cs="Arial"/>
                <w:lang w:eastAsia="en-GB"/>
              </w:rPr>
              <w:t xml:space="preserve">The expert’s inputs </w:t>
            </w:r>
            <w:proofErr w:type="gramStart"/>
            <w:r w:rsidRPr="00C73F3D">
              <w:rPr>
                <w:rFonts w:eastAsia="Times New Roman" w:cs="Arial"/>
                <w:lang w:eastAsia="en-GB"/>
              </w:rPr>
              <w:t>are expected</w:t>
            </w:r>
            <w:proofErr w:type="gramEnd"/>
            <w:r w:rsidRPr="00C73F3D">
              <w:rPr>
                <w:rFonts w:eastAsia="Times New Roman" w:cs="Arial"/>
                <w:lang w:eastAsia="en-GB"/>
              </w:rPr>
              <w:t xml:space="preserve"> to contribute to the implementation of the ARM: Public Efficiency and Financial Markets Program.</w:t>
            </w:r>
          </w:p>
          <w:p w14:paraId="1F2E6E6D" w14:textId="77777777" w:rsidR="004B20AD" w:rsidRDefault="004B20AD" w:rsidP="004B20AD">
            <w:pPr>
              <w:spacing w:before="120"/>
              <w:rPr>
                <w:rFonts w:cs="Arial"/>
                <w:b/>
                <w:lang w:val="en-GB"/>
              </w:rPr>
            </w:pPr>
            <w:r w:rsidRPr="008D1BE1">
              <w:rPr>
                <w:rFonts w:cs="Arial"/>
                <w:b/>
                <w:lang w:val="en-GB"/>
              </w:rPr>
              <w:t>Detailed Tasks:</w:t>
            </w:r>
          </w:p>
          <w:p w14:paraId="534F2151" w14:textId="77777777" w:rsidR="004B20AD" w:rsidRPr="00931EDE" w:rsidRDefault="004B20AD" w:rsidP="004B20AD">
            <w:pPr>
              <w:widowControl w:val="0"/>
              <w:autoSpaceDE w:val="0"/>
              <w:autoSpaceDN w:val="0"/>
              <w:adjustRightInd w:val="0"/>
              <w:jc w:val="both"/>
              <w:rPr>
                <w:rFonts w:cs="Arial"/>
              </w:rPr>
            </w:pPr>
            <w:r w:rsidRPr="00931EDE">
              <w:rPr>
                <w:rFonts w:cs="Arial"/>
              </w:rPr>
              <w:t xml:space="preserve">The Public Debt Management Expert will undertake an initial </w:t>
            </w:r>
            <w:r>
              <w:rPr>
                <w:rFonts w:cs="Arial"/>
              </w:rPr>
              <w:t>2</w:t>
            </w:r>
            <w:r w:rsidRPr="00931EDE">
              <w:rPr>
                <w:rFonts w:cs="Arial"/>
              </w:rPr>
              <w:t>-week mission to complete the following</w:t>
            </w:r>
            <w:r>
              <w:rPr>
                <w:rFonts w:cs="Arial"/>
              </w:rPr>
              <w:t xml:space="preserve"> </w:t>
            </w:r>
            <w:r w:rsidRPr="00931EDE">
              <w:rPr>
                <w:rFonts w:cs="Arial"/>
              </w:rPr>
              <w:t>tasks:</w:t>
            </w:r>
          </w:p>
          <w:p w14:paraId="1DBDF27A" w14:textId="77777777" w:rsidR="004B20AD" w:rsidRPr="00C73F3D" w:rsidRDefault="004B20AD" w:rsidP="004B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p>
          <w:p w14:paraId="1B0BE1D4" w14:textId="77777777" w:rsidR="004B20AD" w:rsidRPr="00C61BA1" w:rsidRDefault="004B20AD" w:rsidP="004B20AD">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r w:rsidRPr="00C61BA1">
              <w:rPr>
                <w:rFonts w:eastAsia="Times New Roman" w:cs="Arial"/>
                <w:lang w:eastAsia="en-GB"/>
              </w:rPr>
              <w:t xml:space="preserve">Assess and make recommendations to support the public debt management </w:t>
            </w:r>
          </w:p>
          <w:p w14:paraId="31E33BA3" w14:textId="77777777" w:rsidR="004B20AD" w:rsidRDefault="004B20AD" w:rsidP="004B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Arial"/>
                <w:lang w:eastAsia="en-GB"/>
              </w:rPr>
            </w:pPr>
            <w:r w:rsidRPr="00C61BA1">
              <w:rPr>
                <w:rFonts w:eastAsia="Times New Roman" w:cs="Arial"/>
                <w:lang w:eastAsia="en-GB"/>
              </w:rPr>
              <w:t>department (PDMD) in improving its operations and risk management (e.g. through a new Operational Risk Management Framework [ORMF]), with a focus on:</w:t>
            </w:r>
          </w:p>
          <w:p w14:paraId="7573A9D6" w14:textId="77777777" w:rsidR="004B20AD" w:rsidRDefault="004B20AD" w:rsidP="004B20A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r w:rsidRPr="00C61BA1">
              <w:rPr>
                <w:rFonts w:eastAsia="Times New Roman" w:cs="Arial"/>
                <w:lang w:eastAsia="en-GB"/>
              </w:rPr>
              <w:t>developing analytical capacities for the back and middle offices and the Medium</w:t>
            </w:r>
          </w:p>
          <w:p w14:paraId="71477DD6" w14:textId="77777777" w:rsidR="004B20AD" w:rsidRDefault="004B20AD" w:rsidP="004B20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eastAsia="Times New Roman" w:cs="Arial"/>
                <w:lang w:eastAsia="en-GB"/>
              </w:rPr>
            </w:pPr>
            <w:r w:rsidRPr="00C61BA1">
              <w:rPr>
                <w:rFonts w:eastAsia="Times New Roman" w:cs="Arial"/>
                <w:lang w:eastAsia="en-GB"/>
              </w:rPr>
              <w:t>Term Debt Strategy (MTDS) process (e.g. guidelines for contracting and negotiating external loans, and for evaluating the cost-effectiveness of alternative forms of external borrowing and guarantees [i.e. cost-at-risk analysis]),</w:t>
            </w:r>
          </w:p>
          <w:p w14:paraId="5EB367C3" w14:textId="77777777" w:rsidR="004B20AD" w:rsidRPr="00C61BA1" w:rsidRDefault="004B20AD" w:rsidP="004B20A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r w:rsidRPr="00C61BA1">
              <w:rPr>
                <w:rFonts w:eastAsia="Times New Roman" w:cs="Arial"/>
                <w:lang w:eastAsia="en-GB"/>
              </w:rPr>
              <w:t xml:space="preserve">documenting procedures for debt management activities (e.g. Business Continuity Plan, ORMF processes, clear guidelines for bond buyback and switch operations, etc.), and </w:t>
            </w:r>
          </w:p>
          <w:p w14:paraId="23A088C5" w14:textId="77777777" w:rsidR="004B20AD" w:rsidRPr="00C61BA1" w:rsidRDefault="004B20AD" w:rsidP="004B20A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proofErr w:type="gramStart"/>
            <w:r w:rsidRPr="00C61BA1">
              <w:rPr>
                <w:rFonts w:eastAsia="Times New Roman" w:cs="Arial"/>
                <w:lang w:eastAsia="en-GB"/>
              </w:rPr>
              <w:t>recommending</w:t>
            </w:r>
            <w:proofErr w:type="gramEnd"/>
            <w:r w:rsidRPr="00C61BA1">
              <w:rPr>
                <w:rFonts w:eastAsia="Times New Roman" w:cs="Arial"/>
                <w:lang w:eastAsia="en-GB"/>
              </w:rPr>
              <w:t xml:space="preserve"> legislative and regulatory changes to improve debt management operations, including options to centralize analysis, and reporting of all existing government debt within PDMD. </w:t>
            </w:r>
          </w:p>
          <w:p w14:paraId="60ABBABE" w14:textId="77777777" w:rsidR="004B20AD" w:rsidRPr="00C73F3D" w:rsidRDefault="004B20AD" w:rsidP="004B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p>
          <w:p w14:paraId="3727E84F" w14:textId="77777777" w:rsidR="004B20AD" w:rsidRPr="00C61BA1" w:rsidRDefault="004B20AD" w:rsidP="004B20AD">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r w:rsidRPr="00C61BA1">
              <w:rPr>
                <w:rFonts w:eastAsia="Times New Roman" w:cs="Arial"/>
                <w:lang w:eastAsia="en-GB"/>
              </w:rPr>
              <w:t xml:space="preserve">Propose reforms in debt management practices to streamline issuance of securities to also support money market development, as an input to the road-map for the medium-term development of capital and financial markets in Armenia), </w:t>
            </w:r>
          </w:p>
          <w:p w14:paraId="1107FE03" w14:textId="77777777" w:rsidR="004B20AD" w:rsidRPr="00C73F3D" w:rsidRDefault="004B20AD" w:rsidP="004B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GB"/>
              </w:rPr>
            </w:pPr>
          </w:p>
          <w:p w14:paraId="6409B42A" w14:textId="77777777" w:rsidR="004B20AD" w:rsidRPr="004B20AD" w:rsidRDefault="004B20AD" w:rsidP="004B20AD">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20AD">
              <w:rPr>
                <w:rFonts w:eastAsia="Times New Roman" w:cs="Arial"/>
                <w:lang w:eastAsia="en-GB"/>
              </w:rPr>
              <w:t>Produce an analysis, within the fiscal targets of the MTDS, of the implications (e.g. exchange-rate, etc.) of a faster repayment of foreign-currency debt financed through higher levels of domestic currency debt issuance,</w:t>
            </w:r>
          </w:p>
          <w:p w14:paraId="729FDE5B" w14:textId="77777777" w:rsidR="004B20AD" w:rsidRPr="004B20AD" w:rsidRDefault="004B20AD" w:rsidP="004B20AD">
            <w:pPr>
              <w:pStyle w:val="ListParagraph"/>
              <w:rPr>
                <w:rFonts w:eastAsia="Times New Roman" w:cs="Arial"/>
                <w:lang w:eastAsia="en-GB"/>
              </w:rPr>
            </w:pPr>
          </w:p>
          <w:p w14:paraId="38BD8A08" w14:textId="0094B5A9" w:rsidR="004B20AD" w:rsidRPr="00931EDE" w:rsidRDefault="004B20AD" w:rsidP="004B20AD">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61BA1">
              <w:rPr>
                <w:rFonts w:eastAsia="Times New Roman" w:cs="Arial"/>
                <w:lang w:eastAsia="en-GB"/>
              </w:rPr>
              <w:t>Make recommendations, to improve MOF’s cash management (integrated with the use of T-bills, buybacks, and other instruments)</w:t>
            </w:r>
          </w:p>
        </w:tc>
      </w:tr>
    </w:tbl>
    <w:p w14:paraId="7AA1EA03" w14:textId="77777777" w:rsidR="009545C3" w:rsidRDefault="009545C3" w:rsidP="009545C3"/>
    <w:p w14:paraId="7CA4DD96" w14:textId="5D522E78" w:rsidR="00A0303A" w:rsidRPr="000621C7" w:rsidRDefault="00A0303A" w:rsidP="000621C7">
      <w:pPr>
        <w:ind w:left="360"/>
        <w:jc w:val="center"/>
        <w:rPr>
          <w:rFonts w:cs="Arial"/>
        </w:rPr>
      </w:pPr>
    </w:p>
    <w:sectPr w:rsidR="00A0303A" w:rsidRPr="000621C7" w:rsidSect="001C41E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9279" w14:textId="77777777" w:rsidR="00690235" w:rsidRDefault="00690235" w:rsidP="004861B4">
      <w:r>
        <w:separator/>
      </w:r>
    </w:p>
  </w:endnote>
  <w:endnote w:type="continuationSeparator" w:id="0">
    <w:p w14:paraId="593DA2AD" w14:textId="77777777" w:rsidR="00690235" w:rsidRDefault="00690235" w:rsidP="004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FD68" w14:textId="77777777" w:rsidR="008912B0" w:rsidRDefault="008912B0" w:rsidP="004C0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61712" w14:textId="77777777" w:rsidR="008912B0" w:rsidRDefault="008912B0" w:rsidP="004C0C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50C2" w14:textId="77777777" w:rsidR="008912B0" w:rsidRDefault="008912B0" w:rsidP="004C0C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4807" w14:textId="77777777" w:rsidR="00690235" w:rsidRDefault="00690235" w:rsidP="004861B4">
      <w:r>
        <w:separator/>
      </w:r>
    </w:p>
  </w:footnote>
  <w:footnote w:type="continuationSeparator" w:id="0">
    <w:p w14:paraId="613299A4" w14:textId="77777777" w:rsidR="00690235" w:rsidRDefault="00690235" w:rsidP="004861B4">
      <w:r>
        <w:continuationSeparator/>
      </w:r>
    </w:p>
  </w:footnote>
  <w:footnote w:id="1">
    <w:p w14:paraId="401C5E6D" w14:textId="3E6F48A9" w:rsidR="008912B0" w:rsidRPr="006A402B" w:rsidRDefault="008912B0" w:rsidP="009545C3">
      <w:pPr>
        <w:pStyle w:val="FootnoteText"/>
        <w:rPr>
          <w:sz w:val="18"/>
          <w:szCs w:val="18"/>
          <w:lang w:val="en-GB"/>
        </w:rPr>
      </w:pPr>
      <w:r w:rsidRPr="006A402B">
        <w:rPr>
          <w:rStyle w:val="FootnoteReference"/>
          <w:sz w:val="18"/>
          <w:szCs w:val="18"/>
        </w:rPr>
        <w:footnoteRef/>
      </w:r>
      <w:r w:rsidRPr="006A402B">
        <w:rPr>
          <w:sz w:val="18"/>
          <w:szCs w:val="18"/>
        </w:rPr>
        <w:t xml:space="preserve"> </w:t>
      </w:r>
      <w:r>
        <w:rPr>
          <w:sz w:val="18"/>
          <w:szCs w:val="18"/>
        </w:rPr>
        <w:t xml:space="preserve">The high growth rate </w:t>
      </w:r>
      <w:proofErr w:type="gramStart"/>
      <w:r>
        <w:rPr>
          <w:sz w:val="18"/>
          <w:szCs w:val="18"/>
        </w:rPr>
        <w:t xml:space="preserve">in </w:t>
      </w:r>
      <w:r w:rsidRPr="006A402B">
        <w:rPr>
          <w:sz w:val="18"/>
          <w:szCs w:val="18"/>
          <w:lang w:val="en-GB"/>
        </w:rPr>
        <w:t xml:space="preserve"> 2017</w:t>
      </w:r>
      <w:proofErr w:type="gramEnd"/>
      <w:r w:rsidRPr="006A402B">
        <w:rPr>
          <w:sz w:val="18"/>
          <w:szCs w:val="18"/>
          <w:lang w:val="en-GB"/>
        </w:rPr>
        <w:t xml:space="preserve"> </w:t>
      </w:r>
      <w:r>
        <w:rPr>
          <w:sz w:val="18"/>
          <w:szCs w:val="18"/>
          <w:lang w:val="en-GB"/>
        </w:rPr>
        <w:t xml:space="preserve">is </w:t>
      </w:r>
      <w:r w:rsidRPr="006A402B">
        <w:rPr>
          <w:sz w:val="18"/>
          <w:szCs w:val="18"/>
          <w:lang w:val="en-GB"/>
        </w:rPr>
        <w:t>driven by double digit growth rates in industry, services, and trade</w:t>
      </w:r>
      <w:r>
        <w:rPr>
          <w:sz w:val="18"/>
          <w:szCs w:val="18"/>
          <w:lang w:val="en-GB"/>
        </w:rPr>
        <w:t xml:space="preserve"> and also reflected the base effect on the back of stagnating growth in 2016</w:t>
      </w:r>
      <w:r w:rsidRPr="006A402B">
        <w:rPr>
          <w:sz w:val="18"/>
          <w:szCs w:val="18"/>
          <w:lang w:val="en-GB"/>
        </w:rPr>
        <w:t>.</w:t>
      </w:r>
      <w:r>
        <w:rPr>
          <w:sz w:val="18"/>
          <w:szCs w:val="18"/>
          <w:lang w:val="en-GB"/>
        </w:rPr>
        <w:t xml:space="preserve"> The state budget project a real GDP growth rate of 4.5 percent in 2018.</w:t>
      </w:r>
    </w:p>
  </w:footnote>
  <w:footnote w:id="2">
    <w:p w14:paraId="1B5F4362" w14:textId="77777777" w:rsidR="008912B0" w:rsidRPr="00757238" w:rsidRDefault="008912B0" w:rsidP="009545C3">
      <w:pPr>
        <w:pStyle w:val="FootnoteText"/>
        <w:rPr>
          <w:lang w:val="en-GB"/>
        </w:rPr>
      </w:pPr>
      <w:r w:rsidRPr="0088598E">
        <w:rPr>
          <w:rStyle w:val="FootnoteReference"/>
          <w:sz w:val="18"/>
          <w:szCs w:val="18"/>
        </w:rPr>
        <w:footnoteRef/>
      </w:r>
      <w:r w:rsidRPr="0088598E">
        <w:rPr>
          <w:sz w:val="18"/>
          <w:szCs w:val="18"/>
        </w:rPr>
        <w:t xml:space="preserve"> The decline in remittance flows </w:t>
      </w:r>
      <w:proofErr w:type="gramStart"/>
      <w:r w:rsidRPr="0088598E">
        <w:rPr>
          <w:rFonts w:eastAsiaTheme="minorHAnsi" w:cs="Arial"/>
          <w:sz w:val="18"/>
          <w:szCs w:val="18"/>
          <w:lang w:val="en-GB" w:eastAsia="en-US"/>
        </w:rPr>
        <w:t>impacted</w:t>
      </w:r>
      <w:proofErr w:type="gramEnd"/>
      <w:r w:rsidRPr="0088598E">
        <w:rPr>
          <w:rFonts w:eastAsiaTheme="minorHAnsi" w:cs="Arial"/>
          <w:sz w:val="18"/>
          <w:szCs w:val="18"/>
          <w:lang w:val="en-GB" w:eastAsia="en-US"/>
        </w:rPr>
        <w:t xml:space="preserve"> private consumption and the housing market.</w:t>
      </w:r>
    </w:p>
  </w:footnote>
  <w:footnote w:id="3">
    <w:p w14:paraId="30A8BA87" w14:textId="77777777" w:rsidR="008912B0" w:rsidRPr="00100A82" w:rsidRDefault="008912B0" w:rsidP="009545C3">
      <w:pPr>
        <w:pStyle w:val="FootnoteText"/>
        <w:rPr>
          <w:rFonts w:ascii="Helvetica" w:eastAsia="Times New Roman" w:hAnsi="Helvetica" w:cs="Times New Roman"/>
          <w:color w:val="333333"/>
          <w:sz w:val="23"/>
          <w:szCs w:val="23"/>
          <w:lang w:eastAsia="en-US"/>
        </w:rPr>
      </w:pPr>
      <w:r w:rsidRPr="00123D8A">
        <w:rPr>
          <w:rStyle w:val="FootnoteReference"/>
          <w:sz w:val="18"/>
          <w:szCs w:val="18"/>
        </w:rPr>
        <w:footnoteRef/>
      </w:r>
      <w:r w:rsidRPr="00123D8A">
        <w:rPr>
          <w:sz w:val="18"/>
          <w:szCs w:val="18"/>
        </w:rPr>
        <w:t xml:space="preserve"> </w:t>
      </w:r>
      <w:r w:rsidRPr="00123D8A">
        <w:rPr>
          <w:rFonts w:cs="Arial"/>
          <w:sz w:val="18"/>
          <w:szCs w:val="18"/>
        </w:rPr>
        <w:t>World Bank Income Classification June 2017 $ 1,005.00 to $3,995.00</w:t>
      </w:r>
    </w:p>
  </w:footnote>
  <w:footnote w:id="4">
    <w:p w14:paraId="5408A229" w14:textId="43A4CA50" w:rsidR="008912B0" w:rsidRPr="00284B81" w:rsidRDefault="008912B0" w:rsidP="009545C3">
      <w:pPr>
        <w:pStyle w:val="FootnoteText"/>
        <w:rPr>
          <w:sz w:val="18"/>
          <w:szCs w:val="18"/>
          <w:lang w:val="en-GB"/>
        </w:rPr>
      </w:pPr>
      <w:r w:rsidRPr="00284B81">
        <w:rPr>
          <w:rStyle w:val="FootnoteReference"/>
          <w:sz w:val="18"/>
          <w:szCs w:val="18"/>
        </w:rPr>
        <w:footnoteRef/>
      </w:r>
      <w:r w:rsidRPr="00284B81">
        <w:rPr>
          <w:sz w:val="18"/>
          <w:szCs w:val="18"/>
        </w:rPr>
        <w:t xml:space="preserve"> </w:t>
      </w:r>
      <w:r w:rsidRPr="00284B81">
        <w:rPr>
          <w:sz w:val="18"/>
          <w:szCs w:val="18"/>
          <w:lang w:val="en-GB"/>
        </w:rPr>
        <w:t>Armenia’s public debt includes</w:t>
      </w:r>
      <w:r w:rsidRPr="00284B81">
        <w:rPr>
          <w:rFonts w:cs="Arial"/>
          <w:sz w:val="18"/>
          <w:szCs w:val="18"/>
        </w:rPr>
        <w:t xml:space="preserve"> external debt of the Central Bank of Armenia (CBA)</w:t>
      </w:r>
      <w:r>
        <w:rPr>
          <w:rFonts w:cs="Arial"/>
          <w:sz w:val="18"/>
          <w:szCs w:val="18"/>
        </w:rPr>
        <w:t>, in addition to Government debt</w:t>
      </w:r>
      <w:r w:rsidRPr="00284B81">
        <w:rPr>
          <w:rFonts w:cs="Arial"/>
          <w:sz w:val="18"/>
          <w:szCs w:val="18"/>
        </w:rPr>
        <w:t>.</w:t>
      </w:r>
      <w:r>
        <w:rPr>
          <w:rFonts w:cs="Arial"/>
          <w:sz w:val="18"/>
          <w:szCs w:val="18"/>
        </w:rPr>
        <w:t xml:space="preserve"> Following the global financial crisis, public debt has steadily swelled from 14 percent of GDP in 2007.</w:t>
      </w:r>
    </w:p>
  </w:footnote>
  <w:footnote w:id="5">
    <w:p w14:paraId="6A41E5EB" w14:textId="77777777" w:rsidR="008912B0" w:rsidRPr="00B52817" w:rsidRDefault="008912B0" w:rsidP="009545C3">
      <w:pPr>
        <w:pStyle w:val="FootnoteText"/>
        <w:rPr>
          <w:sz w:val="18"/>
          <w:szCs w:val="18"/>
          <w:lang w:val="en-GB"/>
        </w:rPr>
      </w:pPr>
      <w:r w:rsidRPr="00B52817">
        <w:rPr>
          <w:rStyle w:val="FootnoteReference"/>
          <w:sz w:val="18"/>
          <w:szCs w:val="18"/>
        </w:rPr>
        <w:footnoteRef/>
      </w:r>
      <w:r w:rsidRPr="00B52817">
        <w:rPr>
          <w:sz w:val="18"/>
          <w:szCs w:val="18"/>
        </w:rPr>
        <w:t xml:space="preserve"> </w:t>
      </w:r>
      <w:r w:rsidRPr="00B52817">
        <w:rPr>
          <w:rFonts w:eastAsiaTheme="minorHAnsi" w:cs="Arial"/>
          <w:sz w:val="18"/>
          <w:szCs w:val="18"/>
          <w:lang w:val="en-GB" w:eastAsia="en-US"/>
        </w:rPr>
        <w:t xml:space="preserve">However, this risk </w:t>
      </w:r>
      <w:proofErr w:type="gramStart"/>
      <w:r w:rsidRPr="00B52817">
        <w:rPr>
          <w:rFonts w:eastAsiaTheme="minorHAnsi" w:cs="Arial"/>
          <w:sz w:val="18"/>
          <w:szCs w:val="18"/>
          <w:lang w:val="en-GB" w:eastAsia="en-US"/>
        </w:rPr>
        <w:t>is mitigated</w:t>
      </w:r>
      <w:proofErr w:type="gramEnd"/>
      <w:r w:rsidRPr="00B52817">
        <w:rPr>
          <w:rFonts w:eastAsiaTheme="minorHAnsi" w:cs="Arial"/>
          <w:sz w:val="18"/>
          <w:szCs w:val="18"/>
          <w:lang w:val="en-GB" w:eastAsia="en-US"/>
        </w:rPr>
        <w:t xml:space="preserve"> by the fact that over 90 percent of the debt is long-term, mostly provided by official creditors, and at fixed interest rates (see table).</w:t>
      </w:r>
    </w:p>
  </w:footnote>
  <w:footnote w:id="6">
    <w:p w14:paraId="7D1E5F34" w14:textId="77777777" w:rsidR="008912B0" w:rsidRPr="00284B81" w:rsidRDefault="008912B0" w:rsidP="009545C3">
      <w:pPr>
        <w:pStyle w:val="FootnoteText"/>
        <w:rPr>
          <w:sz w:val="18"/>
          <w:szCs w:val="18"/>
          <w:lang w:val="en-GB"/>
        </w:rPr>
      </w:pPr>
      <w:r w:rsidRPr="00284B81">
        <w:rPr>
          <w:rStyle w:val="FootnoteReference"/>
          <w:sz w:val="18"/>
          <w:szCs w:val="18"/>
        </w:rPr>
        <w:footnoteRef/>
      </w:r>
      <w:r w:rsidRPr="00284B81">
        <w:rPr>
          <w:sz w:val="18"/>
          <w:szCs w:val="18"/>
        </w:rPr>
        <w:t xml:space="preserve"> </w:t>
      </w:r>
      <w:r w:rsidRPr="00284B81">
        <w:rPr>
          <w:sz w:val="18"/>
          <w:szCs w:val="18"/>
          <w:lang w:val="en-GB"/>
        </w:rPr>
        <w:t xml:space="preserve">Based on debt sustainability analysis </w:t>
      </w:r>
      <w:r>
        <w:rPr>
          <w:sz w:val="18"/>
          <w:szCs w:val="18"/>
          <w:lang w:val="en-GB"/>
        </w:rPr>
        <w:t>by</w:t>
      </w:r>
      <w:r w:rsidRPr="00284B81">
        <w:rPr>
          <w:sz w:val="18"/>
          <w:szCs w:val="18"/>
          <w:lang w:val="en-GB"/>
        </w:rPr>
        <w:t xml:space="preserve"> the IMF</w:t>
      </w:r>
      <w:r>
        <w:rPr>
          <w:sz w:val="18"/>
          <w:szCs w:val="18"/>
          <w:lang w:val="en-GB"/>
        </w:rPr>
        <w:t xml:space="preserve"> (Article IV Consultation Report for Armenia, IMF, </w:t>
      </w:r>
      <w:proofErr w:type="gramStart"/>
      <w:r>
        <w:rPr>
          <w:sz w:val="18"/>
          <w:szCs w:val="18"/>
          <w:lang w:val="en-GB"/>
        </w:rPr>
        <w:t>July</w:t>
      </w:r>
      <w:proofErr w:type="gramEnd"/>
      <w:r>
        <w:rPr>
          <w:sz w:val="18"/>
          <w:szCs w:val="18"/>
          <w:lang w:val="en-GB"/>
        </w:rPr>
        <w:t xml:space="preserve"> 2017) which assumes one standard deviation shock of real GDP growth</w:t>
      </w:r>
      <w:r w:rsidRPr="00284B81">
        <w:rPr>
          <w:sz w:val="18"/>
          <w:szCs w:val="18"/>
          <w:lang w:val="en-GB"/>
        </w:rPr>
        <w:t>.</w:t>
      </w:r>
    </w:p>
  </w:footnote>
  <w:footnote w:id="7">
    <w:p w14:paraId="1137513E" w14:textId="77777777" w:rsidR="008912B0" w:rsidRPr="00DE3467" w:rsidRDefault="008912B0" w:rsidP="009545C3">
      <w:pPr>
        <w:pStyle w:val="FootnoteText"/>
        <w:rPr>
          <w:sz w:val="18"/>
          <w:szCs w:val="18"/>
          <w:lang w:val="en-GB"/>
        </w:rPr>
      </w:pPr>
      <w:r w:rsidRPr="00DE3467">
        <w:rPr>
          <w:rStyle w:val="FootnoteReference"/>
          <w:sz w:val="18"/>
          <w:szCs w:val="18"/>
        </w:rPr>
        <w:footnoteRef/>
      </w:r>
      <w:r w:rsidRPr="00DE3467">
        <w:rPr>
          <w:sz w:val="18"/>
          <w:szCs w:val="18"/>
        </w:rPr>
        <w:t xml:space="preserve"> </w:t>
      </w:r>
      <w:r w:rsidRPr="00DE3467">
        <w:rPr>
          <w:rFonts w:eastAsiaTheme="minorHAnsi" w:cs="Arial"/>
          <w:sz w:val="18"/>
          <w:szCs w:val="18"/>
          <w:lang w:val="en-GB" w:eastAsia="en-US"/>
        </w:rPr>
        <w:t>According to this rule, the fiscal deficit next year should be no more than 3 percent of the average GDP of the previous three years.</w:t>
      </w:r>
      <w:r>
        <w:rPr>
          <w:rFonts w:eastAsiaTheme="minorHAnsi" w:cs="Arial"/>
          <w:sz w:val="18"/>
          <w:szCs w:val="18"/>
          <w:lang w:val="en-GB" w:eastAsia="en-US"/>
        </w:rPr>
        <w:t xml:space="preserve"> The law also contained an absolute debt ceiling of 60 percent of GDP for the previous year.</w:t>
      </w:r>
    </w:p>
  </w:footnote>
  <w:footnote w:id="8">
    <w:p w14:paraId="12347B09" w14:textId="77777777" w:rsidR="008912B0" w:rsidRPr="00FA4CCD" w:rsidRDefault="008912B0" w:rsidP="009545C3">
      <w:pPr>
        <w:pStyle w:val="FootnoteText"/>
        <w:rPr>
          <w:sz w:val="18"/>
          <w:szCs w:val="18"/>
          <w:lang w:val="en-GB"/>
        </w:rPr>
      </w:pPr>
      <w:r w:rsidRPr="00FA4CCD">
        <w:rPr>
          <w:rStyle w:val="FootnoteReference"/>
          <w:sz w:val="18"/>
          <w:szCs w:val="18"/>
        </w:rPr>
        <w:footnoteRef/>
      </w:r>
      <w:r w:rsidRPr="00FA4CCD">
        <w:rPr>
          <w:sz w:val="18"/>
          <w:szCs w:val="18"/>
        </w:rPr>
        <w:t xml:space="preserve"> </w:t>
      </w:r>
      <w:r w:rsidRPr="00FA4CCD">
        <w:rPr>
          <w:rFonts w:cs="Arial"/>
          <w:sz w:val="18"/>
          <w:szCs w:val="18"/>
          <w:lang w:val="en-GB"/>
        </w:rPr>
        <w:t>A depreciation of 1 percent of AMD against major foreign currencies results in an increased debt burden of 0.</w:t>
      </w:r>
      <w:r>
        <w:rPr>
          <w:rFonts w:cs="Arial"/>
          <w:sz w:val="18"/>
          <w:szCs w:val="18"/>
          <w:lang w:val="en-GB"/>
        </w:rPr>
        <w:t>4</w:t>
      </w:r>
      <w:r w:rsidRPr="00FA4CCD">
        <w:rPr>
          <w:rFonts w:cs="Arial"/>
          <w:sz w:val="18"/>
          <w:szCs w:val="18"/>
          <w:lang w:val="en-GB"/>
        </w:rPr>
        <w:t xml:space="preserve"> percent </w:t>
      </w:r>
      <w:r>
        <w:rPr>
          <w:rFonts w:cs="Arial"/>
          <w:sz w:val="18"/>
          <w:szCs w:val="18"/>
          <w:lang w:val="en-GB"/>
        </w:rPr>
        <w:t>of GDP</w:t>
      </w:r>
      <w:r w:rsidRPr="00FA4CCD">
        <w:rPr>
          <w:rFonts w:cs="Arial"/>
          <w:sz w:val="18"/>
          <w:szCs w:val="18"/>
          <w:lang w:val="en-GB"/>
        </w:rPr>
        <w:t>.</w:t>
      </w:r>
    </w:p>
  </w:footnote>
  <w:footnote w:id="9">
    <w:p w14:paraId="05B949EA" w14:textId="77777777" w:rsidR="008912B0" w:rsidRPr="00012FFC" w:rsidRDefault="008912B0" w:rsidP="00186932">
      <w:pPr>
        <w:pStyle w:val="FootnoteText"/>
        <w:rPr>
          <w:sz w:val="18"/>
          <w:szCs w:val="18"/>
          <w:lang w:val="en-GB"/>
        </w:rPr>
      </w:pPr>
      <w:r w:rsidRPr="00012FFC">
        <w:rPr>
          <w:rStyle w:val="FootnoteReference"/>
          <w:sz w:val="18"/>
          <w:szCs w:val="18"/>
        </w:rPr>
        <w:footnoteRef/>
      </w:r>
      <w:r w:rsidRPr="00012FFC">
        <w:rPr>
          <w:sz w:val="18"/>
          <w:szCs w:val="18"/>
        </w:rPr>
        <w:t xml:space="preserve"> </w:t>
      </w:r>
      <w:r w:rsidRPr="00012FFC">
        <w:rPr>
          <w:sz w:val="18"/>
          <w:szCs w:val="18"/>
          <w:lang w:val="en-GB"/>
        </w:rPr>
        <w:t xml:space="preserve">The spread </w:t>
      </w:r>
      <w:proofErr w:type="gramStart"/>
      <w:r w:rsidRPr="00012FFC">
        <w:rPr>
          <w:sz w:val="18"/>
          <w:szCs w:val="18"/>
          <w:lang w:val="en-GB"/>
        </w:rPr>
        <w:t>on Armenian sovereign bonds at 262 basis points over US Treasuries on 3 November 2017</w:t>
      </w:r>
      <w:proofErr w:type="gramEnd"/>
      <w:r w:rsidRPr="00012FFC">
        <w:rPr>
          <w:sz w:val="18"/>
          <w:szCs w:val="18"/>
          <w:lang w:val="en-GB"/>
        </w:rPr>
        <w:t xml:space="preserve"> was the highest within the region for CIS countries.</w:t>
      </w:r>
    </w:p>
  </w:footnote>
  <w:footnote w:id="10">
    <w:p w14:paraId="57D8147A" w14:textId="77777777" w:rsidR="008912B0" w:rsidRPr="003708D5" w:rsidRDefault="008912B0" w:rsidP="009545C3">
      <w:pPr>
        <w:pStyle w:val="FootnoteText"/>
        <w:rPr>
          <w:sz w:val="18"/>
          <w:szCs w:val="18"/>
          <w:lang w:val="en-GB"/>
        </w:rPr>
      </w:pPr>
      <w:r w:rsidRPr="003708D5">
        <w:rPr>
          <w:rStyle w:val="FootnoteReference"/>
          <w:sz w:val="18"/>
          <w:szCs w:val="18"/>
        </w:rPr>
        <w:footnoteRef/>
      </w:r>
      <w:r w:rsidRPr="003708D5">
        <w:rPr>
          <w:sz w:val="18"/>
          <w:szCs w:val="18"/>
        </w:rPr>
        <w:t xml:space="preserve"> </w:t>
      </w:r>
      <w:r w:rsidRPr="003708D5">
        <w:rPr>
          <w:sz w:val="18"/>
          <w:szCs w:val="18"/>
          <w:lang w:val="en-GB"/>
        </w:rPr>
        <w:t>Eurobonds account for 68 percent of total redemptions in 2020 and 2025.</w:t>
      </w:r>
    </w:p>
  </w:footnote>
  <w:footnote w:id="11">
    <w:p w14:paraId="17965DFF" w14:textId="77777777" w:rsidR="008912B0" w:rsidRPr="005D5699" w:rsidRDefault="008912B0" w:rsidP="009545C3">
      <w:pPr>
        <w:pStyle w:val="FootnoteText"/>
        <w:rPr>
          <w:sz w:val="18"/>
          <w:szCs w:val="18"/>
          <w:lang w:val="en-GB"/>
        </w:rPr>
      </w:pPr>
      <w:r w:rsidRPr="005D5699">
        <w:rPr>
          <w:rStyle w:val="FootnoteReference"/>
          <w:sz w:val="18"/>
          <w:szCs w:val="18"/>
        </w:rPr>
        <w:footnoteRef/>
      </w:r>
      <w:r w:rsidRPr="005D5699">
        <w:rPr>
          <w:sz w:val="18"/>
          <w:szCs w:val="18"/>
        </w:rPr>
        <w:t xml:space="preserve"> An increase of foreign and domestic interest rates by 100 basis points results in increased interest payments of 0.3-0.4 and 0.1-0.2 percent of state revenue (excluding grants) respectively.</w:t>
      </w:r>
    </w:p>
  </w:footnote>
  <w:footnote w:id="12">
    <w:p w14:paraId="7EA0C9AA" w14:textId="77777777" w:rsidR="008912B0" w:rsidRPr="002B6229" w:rsidRDefault="008912B0" w:rsidP="009545C3">
      <w:pPr>
        <w:pStyle w:val="FootnoteText"/>
        <w:rPr>
          <w:sz w:val="18"/>
          <w:szCs w:val="18"/>
          <w:lang w:val="en-GB"/>
        </w:rPr>
      </w:pPr>
      <w:r w:rsidRPr="002B6229">
        <w:rPr>
          <w:rStyle w:val="FootnoteReference"/>
          <w:sz w:val="18"/>
          <w:szCs w:val="18"/>
        </w:rPr>
        <w:footnoteRef/>
      </w:r>
      <w:r w:rsidRPr="002B6229">
        <w:rPr>
          <w:sz w:val="18"/>
          <w:szCs w:val="18"/>
        </w:rPr>
        <w:t xml:space="preserve"> </w:t>
      </w:r>
      <w:r w:rsidRPr="002B6229">
        <w:rPr>
          <w:sz w:val="18"/>
          <w:szCs w:val="18"/>
          <w:lang w:val="en-GB"/>
        </w:rPr>
        <w:t xml:space="preserve">The MTDS Framework developed by the IMF-World Bank is based on a deterministic scenario </w:t>
      </w:r>
      <w:proofErr w:type="gramStart"/>
      <w:r w:rsidRPr="002B6229">
        <w:rPr>
          <w:sz w:val="18"/>
          <w:szCs w:val="18"/>
          <w:lang w:val="en-GB"/>
        </w:rPr>
        <w:t>analysis which</w:t>
      </w:r>
      <w:proofErr w:type="gramEnd"/>
      <w:r w:rsidRPr="002B6229">
        <w:rPr>
          <w:sz w:val="18"/>
          <w:szCs w:val="18"/>
          <w:lang w:val="en-GB"/>
        </w:rPr>
        <w:t xml:space="preserve"> assess cost-risk trade-off for alternative strategies.</w:t>
      </w:r>
    </w:p>
  </w:footnote>
  <w:footnote w:id="13">
    <w:p w14:paraId="454EA64B" w14:textId="703B297F" w:rsidR="008912B0" w:rsidRPr="00D17066" w:rsidRDefault="008912B0" w:rsidP="00B148B3">
      <w:pPr>
        <w:pStyle w:val="FootnoteText"/>
        <w:rPr>
          <w:sz w:val="18"/>
          <w:szCs w:val="18"/>
          <w:lang w:val="en-GB"/>
        </w:rPr>
      </w:pPr>
      <w:r w:rsidRPr="00D17066">
        <w:rPr>
          <w:rStyle w:val="FootnoteReference"/>
          <w:sz w:val="18"/>
          <w:szCs w:val="18"/>
        </w:rPr>
        <w:footnoteRef/>
      </w:r>
      <w:r w:rsidRPr="00D17066">
        <w:rPr>
          <w:sz w:val="18"/>
          <w:szCs w:val="18"/>
        </w:rPr>
        <w:t xml:space="preserve"> The aggressive domestic debt issuance strategy assumes financing between 54 – 32 percent of net borrowings during 2018-20</w:t>
      </w:r>
      <w:r>
        <w:rPr>
          <w:sz w:val="18"/>
          <w:szCs w:val="18"/>
        </w:rPr>
        <w:t xml:space="preserve"> compared to the existing strategy of financing in the range of </w:t>
      </w:r>
      <w:r w:rsidRPr="00D17066">
        <w:rPr>
          <w:sz w:val="18"/>
          <w:szCs w:val="18"/>
        </w:rPr>
        <w:t>.</w:t>
      </w:r>
      <w:r>
        <w:rPr>
          <w:sz w:val="18"/>
          <w:szCs w:val="18"/>
        </w:rPr>
        <w:t>20 – 30 percent during the same period</w:t>
      </w:r>
    </w:p>
  </w:footnote>
  <w:footnote w:id="14">
    <w:p w14:paraId="754E64C8" w14:textId="77777777" w:rsidR="008912B0" w:rsidRPr="00C7760D" w:rsidRDefault="008912B0" w:rsidP="00B148B3">
      <w:pPr>
        <w:pStyle w:val="FootnoteText"/>
        <w:rPr>
          <w:sz w:val="18"/>
          <w:szCs w:val="18"/>
          <w:lang w:val="en-GB"/>
        </w:rPr>
      </w:pPr>
      <w:r w:rsidRPr="00C7760D">
        <w:rPr>
          <w:rStyle w:val="FootnoteReference"/>
          <w:sz w:val="18"/>
          <w:szCs w:val="18"/>
        </w:rPr>
        <w:footnoteRef/>
      </w:r>
      <w:r w:rsidRPr="00C7760D">
        <w:rPr>
          <w:sz w:val="18"/>
          <w:szCs w:val="18"/>
        </w:rPr>
        <w:t xml:space="preserve"> The performance of such strategy could change with more robust projections of exchange rates and interest </w:t>
      </w:r>
      <w:proofErr w:type="gramStart"/>
      <w:r w:rsidRPr="00C7760D">
        <w:rPr>
          <w:sz w:val="18"/>
          <w:szCs w:val="18"/>
        </w:rPr>
        <w:t>rates which currently underestimates</w:t>
      </w:r>
      <w:proofErr w:type="gramEnd"/>
      <w:r w:rsidRPr="00C7760D">
        <w:rPr>
          <w:sz w:val="18"/>
          <w:szCs w:val="18"/>
        </w:rPr>
        <w:t xml:space="preserve"> exchange rate and foreign interest rate risks as explained above.</w:t>
      </w:r>
    </w:p>
  </w:footnote>
  <w:footnote w:id="15">
    <w:p w14:paraId="3BD8494F" w14:textId="7F060AF4" w:rsidR="008912B0" w:rsidRPr="009C00DC" w:rsidRDefault="008912B0">
      <w:pPr>
        <w:pStyle w:val="FootnoteText"/>
        <w:rPr>
          <w:sz w:val="20"/>
          <w:szCs w:val="20"/>
          <w:lang w:val="en-GB"/>
        </w:rPr>
      </w:pPr>
      <w:r w:rsidRPr="009C00DC">
        <w:rPr>
          <w:rStyle w:val="FootnoteReference"/>
          <w:sz w:val="20"/>
          <w:szCs w:val="20"/>
        </w:rPr>
        <w:footnoteRef/>
      </w:r>
      <w:r w:rsidRPr="009C00DC">
        <w:rPr>
          <w:sz w:val="20"/>
          <w:szCs w:val="20"/>
        </w:rPr>
        <w:t xml:space="preserve"> </w:t>
      </w:r>
      <w:r w:rsidRPr="009C00DC">
        <w:rPr>
          <w:sz w:val="20"/>
          <w:szCs w:val="20"/>
          <w:lang w:val="en-GB"/>
        </w:rPr>
        <w:t xml:space="preserve">This simplistic analysis does not include the feedback effect of additional exchange rate depreciation on other macroeconomic variables like GDP and interest rates as also for greater annual financing </w:t>
      </w:r>
      <w:r>
        <w:rPr>
          <w:sz w:val="20"/>
          <w:szCs w:val="20"/>
          <w:lang w:val="en-GB"/>
        </w:rPr>
        <w:t xml:space="preserve">requirement (in domestic currency terms) </w:t>
      </w:r>
      <w:r w:rsidRPr="009C00DC">
        <w:rPr>
          <w:sz w:val="20"/>
          <w:szCs w:val="20"/>
          <w:lang w:val="en-GB"/>
        </w:rPr>
        <w:t xml:space="preserve">on foreign currency debt service obligations during the horizon of analysis.  </w:t>
      </w:r>
    </w:p>
  </w:footnote>
  <w:footnote w:id="16">
    <w:p w14:paraId="38E39025" w14:textId="77777777" w:rsidR="008912B0" w:rsidRPr="00310A4C" w:rsidRDefault="008912B0" w:rsidP="009545C3">
      <w:pPr>
        <w:pStyle w:val="FootnoteText"/>
        <w:rPr>
          <w:sz w:val="18"/>
          <w:szCs w:val="18"/>
        </w:rPr>
      </w:pPr>
      <w:r w:rsidRPr="00310A4C">
        <w:rPr>
          <w:rStyle w:val="FootnoteReference"/>
          <w:sz w:val="18"/>
          <w:szCs w:val="18"/>
        </w:rPr>
        <w:footnoteRef/>
      </w:r>
      <w:r w:rsidRPr="00310A4C">
        <w:rPr>
          <w:sz w:val="18"/>
          <w:szCs w:val="18"/>
        </w:rPr>
        <w:t xml:space="preserve"> There is only one other Eurobond issuance being </w:t>
      </w:r>
      <w:proofErr w:type="gramStart"/>
      <w:r w:rsidRPr="00310A4C">
        <w:rPr>
          <w:sz w:val="18"/>
          <w:szCs w:val="18"/>
        </w:rPr>
        <w:t>traded</w:t>
      </w:r>
      <w:proofErr w:type="gramEnd"/>
      <w:r w:rsidRPr="00310A4C">
        <w:rPr>
          <w:sz w:val="18"/>
          <w:szCs w:val="18"/>
        </w:rPr>
        <w:t xml:space="preserve"> and priced in the Dublin Exchange: $100m debt issued by Ardshininvestbk, with a coupon rate of 12%.</w:t>
      </w:r>
    </w:p>
  </w:footnote>
  <w:footnote w:id="17">
    <w:p w14:paraId="0D1DB835" w14:textId="3C85B944" w:rsidR="008912B0" w:rsidRPr="001121DC" w:rsidRDefault="008912B0" w:rsidP="009545C3">
      <w:pPr>
        <w:widowControl w:val="0"/>
        <w:autoSpaceDE w:val="0"/>
        <w:autoSpaceDN w:val="0"/>
        <w:adjustRightInd w:val="0"/>
        <w:rPr>
          <w:rFonts w:cs="Arial"/>
          <w:color w:val="000000"/>
          <w:sz w:val="18"/>
          <w:szCs w:val="18"/>
        </w:rPr>
      </w:pPr>
      <w:r>
        <w:rPr>
          <w:rStyle w:val="FootnoteReference"/>
        </w:rPr>
        <w:footnoteRef/>
      </w:r>
      <w:r>
        <w:t xml:space="preserve"> </w:t>
      </w:r>
      <w:r w:rsidRPr="001121DC">
        <w:rPr>
          <w:rFonts w:cs="Arial"/>
          <w:color w:val="000000"/>
          <w:sz w:val="18"/>
          <w:szCs w:val="18"/>
        </w:rPr>
        <w:t xml:space="preserve">Medium-term notes </w:t>
      </w:r>
      <w:proofErr w:type="gramStart"/>
      <w:r w:rsidRPr="001121DC">
        <w:rPr>
          <w:rFonts w:cs="Arial"/>
          <w:color w:val="000000"/>
          <w:sz w:val="18"/>
          <w:szCs w:val="18"/>
        </w:rPr>
        <w:t>are reopened</w:t>
      </w:r>
      <w:proofErr w:type="gramEnd"/>
      <w:r w:rsidRPr="001121DC">
        <w:rPr>
          <w:rFonts w:cs="Arial"/>
          <w:color w:val="000000"/>
          <w:sz w:val="18"/>
          <w:szCs w:val="18"/>
        </w:rPr>
        <w:t xml:space="preserve"> for a period of one year; 10-year bonds are reopened for 2 years; and </w:t>
      </w:r>
      <w:r>
        <w:rPr>
          <w:rFonts w:cs="Arial"/>
          <w:color w:val="000000"/>
          <w:sz w:val="18"/>
          <w:szCs w:val="18"/>
        </w:rPr>
        <w:t>30</w:t>
      </w:r>
      <w:r w:rsidRPr="001121DC">
        <w:rPr>
          <w:rFonts w:cs="Arial"/>
          <w:color w:val="000000"/>
          <w:sz w:val="18"/>
          <w:szCs w:val="18"/>
        </w:rPr>
        <w:t xml:space="preserve">-year bonds for 4 years. The calendar is fixed, and the amounts vary in a narrow band. </w:t>
      </w:r>
    </w:p>
    <w:p w14:paraId="483077C9" w14:textId="77777777" w:rsidR="008912B0" w:rsidRPr="00D54DC4" w:rsidRDefault="008912B0" w:rsidP="009545C3">
      <w:pPr>
        <w:pStyle w:val="FootnoteText"/>
        <w:rPr>
          <w:lang w:val="en-GB"/>
        </w:rPr>
      </w:pPr>
    </w:p>
  </w:footnote>
  <w:footnote w:id="18">
    <w:p w14:paraId="06702C25" w14:textId="77777777" w:rsidR="008912B0" w:rsidRPr="00A94C10" w:rsidRDefault="008912B0" w:rsidP="009545C3">
      <w:pPr>
        <w:pStyle w:val="FootnoteText"/>
        <w:rPr>
          <w:sz w:val="18"/>
          <w:szCs w:val="18"/>
          <w:lang w:val="en-GB"/>
        </w:rPr>
      </w:pPr>
      <w:r w:rsidRPr="00A94C10">
        <w:rPr>
          <w:rStyle w:val="FootnoteReference"/>
          <w:sz w:val="18"/>
          <w:szCs w:val="18"/>
        </w:rPr>
        <w:footnoteRef/>
      </w:r>
      <w:r w:rsidRPr="00A94C10">
        <w:rPr>
          <w:sz w:val="18"/>
          <w:szCs w:val="18"/>
        </w:rPr>
        <w:t xml:space="preserve"> </w:t>
      </w:r>
      <w:r w:rsidRPr="00A94C10">
        <w:rPr>
          <w:sz w:val="18"/>
          <w:szCs w:val="18"/>
          <w:lang w:val="en-GB"/>
        </w:rPr>
        <w:t xml:space="preserve">Policy ceilings on benchmark bonds </w:t>
      </w:r>
      <w:proofErr w:type="gramStart"/>
      <w:r w:rsidRPr="00A94C10">
        <w:rPr>
          <w:sz w:val="18"/>
          <w:szCs w:val="18"/>
          <w:lang w:val="en-GB"/>
        </w:rPr>
        <w:t>are fixed</w:t>
      </w:r>
      <w:proofErr w:type="gramEnd"/>
      <w:r w:rsidRPr="00A94C10">
        <w:rPr>
          <w:sz w:val="18"/>
          <w:szCs w:val="18"/>
          <w:lang w:val="en-GB"/>
        </w:rPr>
        <w:t xml:space="preserve"> through a Ministerial Order.</w:t>
      </w:r>
    </w:p>
  </w:footnote>
  <w:footnote w:id="19">
    <w:p w14:paraId="185A3DEB" w14:textId="77777777" w:rsidR="008912B0" w:rsidRPr="00D375A0" w:rsidRDefault="008912B0" w:rsidP="009545C3">
      <w:pPr>
        <w:pStyle w:val="FootnoteText"/>
        <w:jc w:val="both"/>
        <w:rPr>
          <w:sz w:val="18"/>
          <w:szCs w:val="18"/>
          <w:lang w:val="en-GB"/>
        </w:rPr>
      </w:pPr>
      <w:r w:rsidRPr="00D375A0">
        <w:rPr>
          <w:rStyle w:val="FootnoteReference"/>
          <w:sz w:val="18"/>
          <w:szCs w:val="18"/>
        </w:rPr>
        <w:footnoteRef/>
      </w:r>
      <w:r w:rsidRPr="00D375A0">
        <w:rPr>
          <w:sz w:val="18"/>
          <w:szCs w:val="18"/>
        </w:rPr>
        <w:t xml:space="preserve"> </w:t>
      </w:r>
      <w:r w:rsidRPr="00D375A0">
        <w:rPr>
          <w:rFonts w:cs="Arial"/>
          <w:sz w:val="18"/>
          <w:szCs w:val="18"/>
        </w:rPr>
        <w:t>For example, a 5-year benchmark bond initially can attain the status of a 3-year benchmark bond after 2 years of time wherein it can benefit from increasing stock through re-opening over at least 2 years.</w:t>
      </w:r>
    </w:p>
  </w:footnote>
  <w:footnote w:id="20">
    <w:p w14:paraId="2CF6DFEF" w14:textId="77777777" w:rsidR="008912B0" w:rsidRPr="007757DC" w:rsidRDefault="008912B0" w:rsidP="00B148B3">
      <w:pPr>
        <w:pStyle w:val="FootnoteText"/>
        <w:rPr>
          <w:sz w:val="18"/>
          <w:szCs w:val="18"/>
          <w:lang w:val="en-GB"/>
        </w:rPr>
      </w:pPr>
      <w:r w:rsidRPr="007757DC">
        <w:rPr>
          <w:rStyle w:val="FootnoteReference"/>
          <w:sz w:val="18"/>
          <w:szCs w:val="18"/>
        </w:rPr>
        <w:footnoteRef/>
      </w:r>
      <w:r w:rsidRPr="007757DC">
        <w:rPr>
          <w:sz w:val="18"/>
          <w:szCs w:val="18"/>
        </w:rPr>
        <w:t xml:space="preserve"> </w:t>
      </w:r>
      <w:r w:rsidRPr="007757DC">
        <w:rPr>
          <w:sz w:val="18"/>
          <w:szCs w:val="18"/>
          <w:lang w:val="en-GB"/>
        </w:rPr>
        <w:t xml:space="preserve">Credit </w:t>
      </w:r>
      <w:proofErr w:type="gramStart"/>
      <w:r w:rsidRPr="007757DC">
        <w:rPr>
          <w:sz w:val="18"/>
          <w:szCs w:val="18"/>
          <w:lang w:val="en-GB"/>
        </w:rPr>
        <w:t>organisations which predominantly engage in lending activities</w:t>
      </w:r>
      <w:proofErr w:type="gramEnd"/>
      <w:r w:rsidRPr="007757DC">
        <w:rPr>
          <w:sz w:val="18"/>
          <w:szCs w:val="18"/>
          <w:lang w:val="en-GB"/>
        </w:rPr>
        <w:t xml:space="preserve"> account for 8.7 percent of total assets of the financial system.</w:t>
      </w:r>
    </w:p>
  </w:footnote>
  <w:footnote w:id="21">
    <w:p w14:paraId="6595824C" w14:textId="77777777" w:rsidR="008912B0" w:rsidRPr="00DD56C4" w:rsidRDefault="008912B0" w:rsidP="009545C3">
      <w:pPr>
        <w:jc w:val="both"/>
        <w:rPr>
          <w:rFonts w:cs="Arial"/>
          <w:sz w:val="18"/>
          <w:szCs w:val="18"/>
        </w:rPr>
      </w:pPr>
      <w:r w:rsidRPr="00DD56C4">
        <w:rPr>
          <w:rStyle w:val="FootnoteReference"/>
          <w:sz w:val="18"/>
          <w:szCs w:val="18"/>
        </w:rPr>
        <w:footnoteRef/>
      </w:r>
      <w:r w:rsidRPr="00DD56C4">
        <w:rPr>
          <w:sz w:val="18"/>
          <w:szCs w:val="18"/>
        </w:rPr>
        <w:t xml:space="preserve"> </w:t>
      </w:r>
      <w:r w:rsidRPr="00DD56C4">
        <w:rPr>
          <w:rFonts w:cs="Arial"/>
          <w:sz w:val="18"/>
          <w:szCs w:val="18"/>
        </w:rPr>
        <w:t>The counterparts must report OTC transactions to CBA and CBA reports them daily on an anonymous individual basis to the Ministry of Finance and to the market</w:t>
      </w:r>
      <w:r>
        <w:rPr>
          <w:rFonts w:cs="Arial"/>
          <w:sz w:val="18"/>
          <w:szCs w:val="18"/>
        </w:rPr>
        <w:t>. However, t</w:t>
      </w:r>
      <w:r w:rsidRPr="00DD56C4">
        <w:rPr>
          <w:rFonts w:cs="Arial"/>
          <w:sz w:val="18"/>
          <w:szCs w:val="18"/>
        </w:rPr>
        <w:t xml:space="preserve">he information is available in Armenian only, </w:t>
      </w:r>
      <w:r>
        <w:rPr>
          <w:rFonts w:cs="Arial"/>
          <w:sz w:val="18"/>
          <w:szCs w:val="18"/>
        </w:rPr>
        <w:t xml:space="preserve">which could be an issue for </w:t>
      </w:r>
      <w:r w:rsidRPr="00DD56C4">
        <w:rPr>
          <w:rFonts w:cs="Arial"/>
          <w:sz w:val="18"/>
          <w:szCs w:val="18"/>
        </w:rPr>
        <w:t>foreign investors.</w:t>
      </w:r>
    </w:p>
    <w:p w14:paraId="33B49C50" w14:textId="77777777" w:rsidR="008912B0" w:rsidRPr="00DD56C4" w:rsidRDefault="008912B0" w:rsidP="009545C3">
      <w:pPr>
        <w:pStyle w:val="FootnoteText"/>
        <w:rPr>
          <w:lang w:val="en-GB"/>
        </w:rPr>
      </w:pPr>
    </w:p>
  </w:footnote>
  <w:footnote w:id="22">
    <w:p w14:paraId="32DD88D2" w14:textId="77777777" w:rsidR="008912B0" w:rsidRPr="00CE12F8" w:rsidRDefault="008912B0" w:rsidP="009545C3">
      <w:pPr>
        <w:pStyle w:val="FootnoteText"/>
        <w:rPr>
          <w:sz w:val="18"/>
          <w:szCs w:val="18"/>
          <w:lang w:val="en-GB"/>
        </w:rPr>
      </w:pPr>
      <w:r w:rsidRPr="00CE12F8">
        <w:rPr>
          <w:rStyle w:val="FootnoteReference"/>
          <w:sz w:val="18"/>
          <w:szCs w:val="18"/>
        </w:rPr>
        <w:footnoteRef/>
      </w:r>
      <w:r w:rsidRPr="00CE12F8">
        <w:rPr>
          <w:sz w:val="18"/>
          <w:szCs w:val="18"/>
        </w:rPr>
        <w:t xml:space="preserve"> </w:t>
      </w:r>
      <w:r w:rsidRPr="00CE12F8">
        <w:rPr>
          <w:sz w:val="18"/>
          <w:szCs w:val="18"/>
          <w:lang w:val="en-GB"/>
        </w:rPr>
        <w:t xml:space="preserve">Buy back operations are also undertaken with the CBA at a pre-determined price based on the latter’s monetary policy operation requirements. </w:t>
      </w:r>
    </w:p>
  </w:footnote>
  <w:footnote w:id="23">
    <w:p w14:paraId="77D6BF5F" w14:textId="77777777" w:rsidR="008912B0" w:rsidRPr="00D45BEC" w:rsidRDefault="008912B0" w:rsidP="009545C3">
      <w:pPr>
        <w:autoSpaceDE w:val="0"/>
        <w:autoSpaceDN w:val="0"/>
        <w:adjustRightInd w:val="0"/>
        <w:rPr>
          <w:rFonts w:cs="Arial"/>
          <w:sz w:val="18"/>
          <w:szCs w:val="18"/>
          <w:lang w:val="en-GB"/>
        </w:rPr>
      </w:pPr>
      <w:r w:rsidRPr="00D45BEC">
        <w:rPr>
          <w:rStyle w:val="FootnoteReference"/>
          <w:rFonts w:cs="Arial"/>
          <w:sz w:val="18"/>
          <w:szCs w:val="18"/>
        </w:rPr>
        <w:footnoteRef/>
      </w:r>
      <w:r w:rsidRPr="00D45BEC">
        <w:rPr>
          <w:rFonts w:cs="Arial"/>
          <w:sz w:val="18"/>
          <w:szCs w:val="18"/>
        </w:rPr>
        <w:t xml:space="preserve"> Buy back of </w:t>
      </w:r>
      <w:r w:rsidRPr="00D45BEC">
        <w:rPr>
          <w:rFonts w:eastAsiaTheme="minorHAnsi" w:cs="Arial"/>
          <w:sz w:val="18"/>
          <w:szCs w:val="18"/>
          <w:lang w:val="en-GB" w:eastAsia="en-US"/>
        </w:rPr>
        <w:t xml:space="preserve">of benchmark bonds </w:t>
      </w:r>
      <w:r>
        <w:rPr>
          <w:rFonts w:eastAsiaTheme="minorHAnsi" w:cs="Arial"/>
          <w:sz w:val="18"/>
          <w:szCs w:val="18"/>
          <w:lang w:val="en-GB" w:eastAsia="en-US"/>
        </w:rPr>
        <w:t>a</w:t>
      </w:r>
      <w:r w:rsidRPr="00D45BEC">
        <w:rPr>
          <w:rFonts w:eastAsiaTheme="minorHAnsi" w:cs="Arial"/>
          <w:sz w:val="18"/>
          <w:szCs w:val="18"/>
          <w:lang w:val="en-GB" w:eastAsia="en-US"/>
        </w:rPr>
        <w:t xml:space="preserve">re undertaken 6 months prior to its maturity such that the volume outstanding in any issue is less than AMD12.0 </w:t>
      </w:r>
      <w:proofErr w:type="gramStart"/>
      <w:r w:rsidRPr="00D45BEC">
        <w:rPr>
          <w:rFonts w:eastAsiaTheme="minorHAnsi" w:cs="Arial"/>
          <w:sz w:val="18"/>
          <w:szCs w:val="18"/>
          <w:lang w:val="en-GB" w:eastAsia="en-US"/>
        </w:rPr>
        <w:t>billion</w:t>
      </w:r>
      <w:proofErr w:type="gramEnd"/>
      <w:r w:rsidRPr="00D45BEC">
        <w:rPr>
          <w:rFonts w:eastAsiaTheme="minorHAnsi" w:cs="Arial"/>
          <w:sz w:val="18"/>
          <w:szCs w:val="18"/>
          <w:lang w:val="en-GB" w:eastAsia="en-US"/>
        </w:rPr>
        <w:t>.</w:t>
      </w:r>
    </w:p>
  </w:footnote>
  <w:footnote w:id="24">
    <w:p w14:paraId="04788C9C" w14:textId="77777777" w:rsidR="008912B0" w:rsidRPr="009519F5" w:rsidRDefault="008912B0" w:rsidP="009545C3">
      <w:pPr>
        <w:pStyle w:val="FootnoteText"/>
        <w:jc w:val="both"/>
        <w:rPr>
          <w:sz w:val="18"/>
          <w:szCs w:val="18"/>
          <w:lang w:val="en-GB"/>
        </w:rPr>
      </w:pPr>
      <w:r w:rsidRPr="009519F5">
        <w:rPr>
          <w:rStyle w:val="FootnoteReference"/>
          <w:sz w:val="18"/>
          <w:szCs w:val="18"/>
        </w:rPr>
        <w:footnoteRef/>
      </w:r>
      <w:r w:rsidRPr="009519F5">
        <w:rPr>
          <w:sz w:val="18"/>
          <w:szCs w:val="18"/>
        </w:rPr>
        <w:t xml:space="preserve"> </w:t>
      </w:r>
      <w:r w:rsidRPr="009519F5">
        <w:rPr>
          <w:rFonts w:cs="Arial"/>
          <w:sz w:val="18"/>
          <w:szCs w:val="18"/>
          <w:lang w:val="en-GB"/>
        </w:rPr>
        <w:t>On a monthly basis, estimates tend to be within 8% of the actuals for the month and the average for the year is within 3%.</w:t>
      </w:r>
    </w:p>
  </w:footnote>
  <w:footnote w:id="25">
    <w:p w14:paraId="175B612F" w14:textId="77777777" w:rsidR="008912B0" w:rsidRPr="00C85861" w:rsidRDefault="008912B0" w:rsidP="00A20EF2">
      <w:pPr>
        <w:pStyle w:val="FootnoteText"/>
        <w:rPr>
          <w:lang w:val="en-GB"/>
        </w:rPr>
      </w:pPr>
      <w:r>
        <w:rPr>
          <w:rStyle w:val="FootnoteReference"/>
        </w:rPr>
        <w:footnoteRef/>
      </w:r>
      <w:r>
        <w:t xml:space="preserve"> </w:t>
      </w:r>
      <w:r w:rsidRPr="009C00DC">
        <w:rPr>
          <w:sz w:val="18"/>
          <w:szCs w:val="18"/>
        </w:rPr>
        <w:t xml:space="preserve">The net foreign currency assets of $1,550m at the end of December 2017 is estimated after deducting any pre-determined short-term net drains on foreign currency assets. The redemption challenge on Eurobond is further aggravated by rising </w:t>
      </w:r>
      <w:r w:rsidRPr="009C00DC">
        <w:rPr>
          <w:sz w:val="18"/>
          <w:szCs w:val="18"/>
          <w:lang w:val="en-GB"/>
        </w:rPr>
        <w:t xml:space="preserve">amortisation of external </w:t>
      </w:r>
      <w:proofErr w:type="gramStart"/>
      <w:r w:rsidRPr="009C00DC">
        <w:rPr>
          <w:sz w:val="18"/>
          <w:szCs w:val="18"/>
          <w:lang w:val="en-GB"/>
        </w:rPr>
        <w:t>loans which</w:t>
      </w:r>
      <w:proofErr w:type="gramEnd"/>
      <w:r w:rsidRPr="009C00DC">
        <w:rPr>
          <w:sz w:val="18"/>
          <w:szCs w:val="18"/>
          <w:lang w:val="en-GB"/>
        </w:rPr>
        <w:t xml:space="preserve"> is set to increase from $101m in 2017 to $233m in 2020.</w:t>
      </w:r>
    </w:p>
  </w:footnote>
  <w:footnote w:id="26">
    <w:p w14:paraId="27AC00A6" w14:textId="77777777" w:rsidR="008912B0" w:rsidRPr="009C00DC" w:rsidRDefault="008912B0" w:rsidP="009C00DC">
      <w:pPr>
        <w:pStyle w:val="FootnoteText"/>
        <w:jc w:val="both"/>
        <w:rPr>
          <w:sz w:val="18"/>
          <w:szCs w:val="18"/>
          <w:lang w:val="en-GB"/>
        </w:rPr>
      </w:pPr>
      <w:r w:rsidRPr="009C00DC">
        <w:rPr>
          <w:rStyle w:val="FootnoteReference"/>
          <w:sz w:val="18"/>
          <w:szCs w:val="18"/>
        </w:rPr>
        <w:footnoteRef/>
      </w:r>
      <w:r w:rsidRPr="009C00DC">
        <w:rPr>
          <w:sz w:val="18"/>
          <w:szCs w:val="18"/>
        </w:rPr>
        <w:t xml:space="preserve"> </w:t>
      </w:r>
      <w:r w:rsidRPr="009C00DC">
        <w:rPr>
          <w:sz w:val="18"/>
          <w:szCs w:val="18"/>
          <w:lang w:val="en-GB"/>
        </w:rPr>
        <w:t xml:space="preserve">The spread </w:t>
      </w:r>
      <w:proofErr w:type="gramStart"/>
      <w:r w:rsidRPr="009C00DC">
        <w:rPr>
          <w:sz w:val="18"/>
          <w:szCs w:val="18"/>
          <w:lang w:val="en-GB"/>
        </w:rPr>
        <w:t>on Armenian sovereign bonds at 262 basis points over US Treasuries on 3 November 2017</w:t>
      </w:r>
      <w:proofErr w:type="gramEnd"/>
      <w:r w:rsidRPr="009C00DC">
        <w:rPr>
          <w:sz w:val="18"/>
          <w:szCs w:val="18"/>
          <w:lang w:val="en-GB"/>
        </w:rPr>
        <w:t xml:space="preserve"> was the highest within the region for CIS countries.</w:t>
      </w:r>
    </w:p>
  </w:footnote>
  <w:footnote w:id="27">
    <w:p w14:paraId="0CA1991B" w14:textId="77777777" w:rsidR="008912B0" w:rsidRPr="009C00DC" w:rsidRDefault="008912B0" w:rsidP="009C00DC">
      <w:pPr>
        <w:pStyle w:val="FootnoteText"/>
        <w:jc w:val="both"/>
        <w:rPr>
          <w:sz w:val="18"/>
          <w:szCs w:val="18"/>
        </w:rPr>
      </w:pPr>
      <w:r w:rsidRPr="009C00DC">
        <w:rPr>
          <w:rStyle w:val="FootnoteReference"/>
          <w:sz w:val="18"/>
          <w:szCs w:val="18"/>
        </w:rPr>
        <w:footnoteRef/>
      </w:r>
      <w:r w:rsidRPr="009C00DC">
        <w:rPr>
          <w:sz w:val="18"/>
          <w:szCs w:val="18"/>
        </w:rPr>
        <w:t xml:space="preserve"> Depending on the evolution of </w:t>
      </w:r>
      <w:proofErr w:type="gramStart"/>
      <w:r w:rsidRPr="009C00DC">
        <w:rPr>
          <w:sz w:val="18"/>
          <w:szCs w:val="18"/>
        </w:rPr>
        <w:t>exchange-rates</w:t>
      </w:r>
      <w:proofErr w:type="gramEnd"/>
      <w:r w:rsidRPr="009C00DC">
        <w:rPr>
          <w:sz w:val="18"/>
          <w:szCs w:val="18"/>
        </w:rPr>
        <w:t>.</w:t>
      </w:r>
    </w:p>
  </w:footnote>
  <w:footnote w:id="28">
    <w:p w14:paraId="2E7B4826" w14:textId="77777777" w:rsidR="008912B0" w:rsidRPr="009C00DC" w:rsidRDefault="008912B0" w:rsidP="009C00DC">
      <w:pPr>
        <w:pStyle w:val="FootnoteText"/>
        <w:jc w:val="both"/>
        <w:rPr>
          <w:sz w:val="18"/>
          <w:szCs w:val="18"/>
        </w:rPr>
      </w:pPr>
      <w:r w:rsidRPr="009C00DC">
        <w:rPr>
          <w:rStyle w:val="FootnoteReference"/>
          <w:sz w:val="18"/>
          <w:szCs w:val="18"/>
        </w:rPr>
        <w:footnoteRef/>
      </w:r>
      <w:r w:rsidRPr="009C00DC">
        <w:rPr>
          <w:sz w:val="18"/>
          <w:szCs w:val="18"/>
        </w:rPr>
        <w:t xml:space="preserve"> There is only one other Eurobond issuance being </w:t>
      </w:r>
      <w:proofErr w:type="gramStart"/>
      <w:r w:rsidRPr="009C00DC">
        <w:rPr>
          <w:sz w:val="18"/>
          <w:szCs w:val="18"/>
        </w:rPr>
        <w:t>traded</w:t>
      </w:r>
      <w:proofErr w:type="gramEnd"/>
      <w:r w:rsidRPr="009C00DC">
        <w:rPr>
          <w:sz w:val="18"/>
          <w:szCs w:val="18"/>
        </w:rPr>
        <w:t xml:space="preserve"> and priced in the Dublin Exchange: $100m debt issued by Ardshininvestbk, with a coupon rate of 12%. </w:t>
      </w:r>
    </w:p>
  </w:footnote>
  <w:footnote w:id="29">
    <w:p w14:paraId="4A8B9B24" w14:textId="77777777" w:rsidR="008912B0" w:rsidRDefault="008912B0" w:rsidP="009C00DC">
      <w:pPr>
        <w:pStyle w:val="FootnoteText"/>
        <w:jc w:val="both"/>
      </w:pPr>
      <w:r w:rsidRPr="009C00DC">
        <w:rPr>
          <w:rStyle w:val="FootnoteReference"/>
          <w:sz w:val="18"/>
          <w:szCs w:val="18"/>
        </w:rPr>
        <w:footnoteRef/>
      </w:r>
      <w:r w:rsidRPr="009C00DC">
        <w:rPr>
          <w:sz w:val="18"/>
          <w:szCs w:val="18"/>
        </w:rPr>
        <w:t xml:space="preserve"> </w:t>
      </w:r>
      <w:proofErr w:type="gramStart"/>
      <w:r w:rsidRPr="009C00DC">
        <w:rPr>
          <w:sz w:val="18"/>
          <w:szCs w:val="18"/>
        </w:rPr>
        <w:t>There’s</w:t>
      </w:r>
      <w:proofErr w:type="gramEnd"/>
      <w:r w:rsidRPr="009C00DC">
        <w:rPr>
          <w:sz w:val="18"/>
          <w:szCs w:val="18"/>
        </w:rPr>
        <w:t xml:space="preserve"> a lack of liquid financial instruments for banks’ liquidity management, and banks’ level of precautionary reserves in AMD reveals a lack of confidence in the permanence of CBA’s systemic liquidity management into the future, which is not as active as it could be presently. </w:t>
      </w:r>
      <w:proofErr w:type="gramStart"/>
      <w:r w:rsidRPr="009C00DC">
        <w:rPr>
          <w:sz w:val="18"/>
          <w:szCs w:val="18"/>
        </w:rPr>
        <w:t>CBA’s interest rate targeting objectives are still not transparent, CBA’s inflation targeting statement is still not reflected in its policy rate decisions – e.g. market participants can’t estimate a transparent reaction function for CBA’s policy rate decisions – and this holds back the development of the interest rate transmission mechanism (i.e. a liquid yield curve and the deepening of financial intermediation in AMD).</w:t>
      </w:r>
      <w:proofErr w:type="gramEnd"/>
    </w:p>
  </w:footnote>
  <w:footnote w:id="30">
    <w:p w14:paraId="68CB9CE7" w14:textId="77777777" w:rsidR="008912B0" w:rsidRPr="009C00DC" w:rsidRDefault="008912B0" w:rsidP="009C00DC">
      <w:pPr>
        <w:pStyle w:val="FootnoteText"/>
        <w:jc w:val="both"/>
        <w:rPr>
          <w:sz w:val="18"/>
          <w:szCs w:val="18"/>
        </w:rPr>
      </w:pPr>
      <w:r w:rsidRPr="009C00DC">
        <w:rPr>
          <w:rStyle w:val="FootnoteReference"/>
          <w:sz w:val="18"/>
          <w:szCs w:val="18"/>
        </w:rPr>
        <w:footnoteRef/>
      </w:r>
      <w:r w:rsidRPr="009C00DC">
        <w:rPr>
          <w:sz w:val="18"/>
          <w:szCs w:val="18"/>
        </w:rPr>
        <w:t xml:space="preserve"> It is important to clarify that program lending by IFIs is generally justified on the strength of the associated policy reforms. The non-earmarked budget financing that is a by-product of program lending </w:t>
      </w:r>
      <w:proofErr w:type="gramStart"/>
      <w:r w:rsidRPr="009C00DC">
        <w:rPr>
          <w:sz w:val="18"/>
          <w:szCs w:val="18"/>
        </w:rPr>
        <w:t>is either presented</w:t>
      </w:r>
      <w:proofErr w:type="gramEnd"/>
      <w:r w:rsidRPr="009C00DC">
        <w:rPr>
          <w:sz w:val="18"/>
          <w:szCs w:val="18"/>
        </w:rPr>
        <w:t xml:space="preserve"> against adjustment cost of reforms or a government’s net financing needs. In other words, while the text of this report is making a liberal interpretation of the funding of program loans as part of the effort to refinance the Eurobonds, it is not clear that IFIs’ program loans can be explicit in that objective when these proposals </w:t>
      </w:r>
      <w:proofErr w:type="gramStart"/>
      <w:r w:rsidRPr="009C00DC">
        <w:rPr>
          <w:sz w:val="18"/>
          <w:szCs w:val="18"/>
        </w:rPr>
        <w:t>are presented</w:t>
      </w:r>
      <w:proofErr w:type="gramEnd"/>
      <w:r w:rsidRPr="009C00DC">
        <w:rPr>
          <w:sz w:val="18"/>
          <w:szCs w:val="18"/>
        </w:rPr>
        <w:t xml:space="preserve"> to the respective Boards.</w:t>
      </w:r>
    </w:p>
  </w:footnote>
  <w:footnote w:id="31">
    <w:p w14:paraId="664F282D" w14:textId="77777777" w:rsidR="008912B0" w:rsidRPr="009C00DC" w:rsidRDefault="008912B0" w:rsidP="009C00DC">
      <w:pPr>
        <w:pStyle w:val="FootnoteText"/>
        <w:jc w:val="both"/>
        <w:rPr>
          <w:sz w:val="18"/>
          <w:szCs w:val="18"/>
        </w:rPr>
      </w:pPr>
      <w:r w:rsidRPr="009C00DC">
        <w:rPr>
          <w:rStyle w:val="FootnoteReference"/>
          <w:sz w:val="18"/>
          <w:szCs w:val="18"/>
        </w:rPr>
        <w:footnoteRef/>
      </w:r>
      <w:r w:rsidRPr="009C00DC">
        <w:rPr>
          <w:sz w:val="18"/>
          <w:szCs w:val="18"/>
        </w:rPr>
        <w:t xml:space="preserve"> </w:t>
      </w:r>
      <w:proofErr w:type="gramStart"/>
      <w:r w:rsidRPr="009C00DC">
        <w:rPr>
          <w:sz w:val="18"/>
          <w:szCs w:val="18"/>
        </w:rPr>
        <w:t>A dedicated program for buying back (well before redemption period) Eurobonds which stretches out to 2025.</w:t>
      </w:r>
      <w:proofErr w:type="gramEnd"/>
    </w:p>
  </w:footnote>
  <w:footnote w:id="32">
    <w:p w14:paraId="05C53386" w14:textId="77777777" w:rsidR="008912B0" w:rsidRDefault="008912B0" w:rsidP="009C00DC">
      <w:pPr>
        <w:pStyle w:val="FootnoteText"/>
        <w:jc w:val="both"/>
      </w:pPr>
      <w:r w:rsidRPr="009C00DC">
        <w:rPr>
          <w:rStyle w:val="FootnoteReference"/>
          <w:sz w:val="18"/>
          <w:szCs w:val="18"/>
        </w:rPr>
        <w:footnoteRef/>
      </w:r>
      <w:r w:rsidRPr="009C00DC">
        <w:rPr>
          <w:sz w:val="18"/>
          <w:szCs w:val="18"/>
        </w:rPr>
        <w:t xml:space="preserve"> The objective would be to refinance the maturing debt over the next five </w:t>
      </w:r>
      <w:proofErr w:type="gramStart"/>
      <w:r w:rsidRPr="009C00DC">
        <w:rPr>
          <w:sz w:val="18"/>
          <w:szCs w:val="18"/>
        </w:rPr>
        <w:t>years which</w:t>
      </w:r>
      <w:proofErr w:type="gramEnd"/>
      <w:r w:rsidRPr="009C00DC">
        <w:rPr>
          <w:sz w:val="18"/>
          <w:szCs w:val="18"/>
        </w:rPr>
        <w:t xml:space="preserve"> covers external loans as well as the first Eurobond stretching out till 2022.</w:t>
      </w:r>
    </w:p>
  </w:footnote>
  <w:footnote w:id="33">
    <w:p w14:paraId="795641BD" w14:textId="77777777" w:rsidR="008912B0" w:rsidRPr="009C00DC" w:rsidRDefault="008912B0" w:rsidP="009C00DC">
      <w:pPr>
        <w:pStyle w:val="FootnoteText"/>
        <w:jc w:val="both"/>
        <w:rPr>
          <w:sz w:val="18"/>
          <w:szCs w:val="18"/>
        </w:rPr>
      </w:pPr>
      <w:r w:rsidRPr="009C00DC">
        <w:rPr>
          <w:rStyle w:val="FootnoteReference"/>
          <w:sz w:val="18"/>
          <w:szCs w:val="18"/>
        </w:rPr>
        <w:footnoteRef/>
      </w:r>
      <w:r w:rsidRPr="009C00DC">
        <w:rPr>
          <w:sz w:val="18"/>
          <w:szCs w:val="18"/>
        </w:rPr>
        <w:t xml:space="preserve"> There seem to be few SOEs left after the disinvestment program undertaken during late 1990s and early 2000s. The remaining </w:t>
      </w:r>
      <w:proofErr w:type="gramStart"/>
      <w:r w:rsidRPr="009C00DC">
        <w:rPr>
          <w:sz w:val="18"/>
          <w:szCs w:val="18"/>
        </w:rPr>
        <w:t>SOEs which operate now as state-owned closed joint stock companies</w:t>
      </w:r>
      <w:proofErr w:type="gramEnd"/>
      <w:r w:rsidRPr="009C00DC">
        <w:rPr>
          <w:sz w:val="18"/>
          <w:szCs w:val="18"/>
        </w:rPr>
        <w:t xml:space="preserve"> are still active in the energy sector which are loss making requiring government subsidies. Energy prices are also very high in Armenia. </w:t>
      </w:r>
      <w:proofErr w:type="gramStart"/>
      <w:r w:rsidRPr="009C00DC">
        <w:rPr>
          <w:sz w:val="18"/>
          <w:szCs w:val="18"/>
        </w:rPr>
        <w:t>So</w:t>
      </w:r>
      <w:proofErr w:type="gramEnd"/>
      <w:r w:rsidRPr="009C00DC">
        <w:rPr>
          <w:sz w:val="18"/>
          <w:szCs w:val="18"/>
        </w:rPr>
        <w:t xml:space="preserve">, the option for disinvestment is limited to the electricity companies. Another option could be that IFIs support foreign investment through PPPs wherein the expenditure saved by the Government </w:t>
      </w:r>
      <w:proofErr w:type="gramStart"/>
      <w:r w:rsidRPr="009C00DC">
        <w:rPr>
          <w:sz w:val="18"/>
          <w:szCs w:val="18"/>
        </w:rPr>
        <w:t>could be utilized</w:t>
      </w:r>
      <w:proofErr w:type="gramEnd"/>
      <w:r w:rsidRPr="009C00DC">
        <w:rPr>
          <w:sz w:val="18"/>
          <w:szCs w:val="18"/>
        </w:rPr>
        <w:t xml:space="preserve"> to buyback Eurobonds.   </w:t>
      </w:r>
    </w:p>
  </w:footnote>
  <w:footnote w:id="34">
    <w:p w14:paraId="7D24FA59" w14:textId="77777777" w:rsidR="008912B0" w:rsidRPr="009C00DC" w:rsidRDefault="008912B0" w:rsidP="009C00DC">
      <w:pPr>
        <w:pStyle w:val="FootnoteText"/>
        <w:jc w:val="both"/>
        <w:rPr>
          <w:sz w:val="18"/>
          <w:szCs w:val="18"/>
        </w:rPr>
      </w:pPr>
      <w:r w:rsidRPr="009C00DC">
        <w:rPr>
          <w:rStyle w:val="FootnoteReference"/>
          <w:sz w:val="18"/>
          <w:szCs w:val="18"/>
        </w:rPr>
        <w:footnoteRef/>
      </w:r>
      <w:r w:rsidRPr="009C00DC">
        <w:rPr>
          <w:sz w:val="18"/>
          <w:szCs w:val="18"/>
        </w:rPr>
        <w:t xml:space="preserve"> Offshoring of local currency bonds is an option, but possibly not feasible at the current juncture with a nascent and illiquid local currency debt market.</w:t>
      </w:r>
    </w:p>
  </w:footnote>
  <w:footnote w:id="35">
    <w:p w14:paraId="0EA530EE" w14:textId="77777777" w:rsidR="008912B0" w:rsidRDefault="008912B0" w:rsidP="009C00DC">
      <w:pPr>
        <w:pStyle w:val="FootnoteText"/>
        <w:jc w:val="both"/>
      </w:pPr>
      <w:r w:rsidRPr="009C00DC">
        <w:rPr>
          <w:rStyle w:val="FootnoteReference"/>
          <w:sz w:val="18"/>
          <w:szCs w:val="18"/>
        </w:rPr>
        <w:footnoteRef/>
      </w:r>
      <w:r w:rsidRPr="009C00DC">
        <w:rPr>
          <w:sz w:val="18"/>
          <w:szCs w:val="18"/>
        </w:rPr>
        <w:t xml:space="preserve"> This should be a gradual </w:t>
      </w:r>
      <w:proofErr w:type="gramStart"/>
      <w:r w:rsidRPr="009C00DC">
        <w:rPr>
          <w:sz w:val="18"/>
          <w:szCs w:val="18"/>
        </w:rPr>
        <w:t>strategy which</w:t>
      </w:r>
      <w:proofErr w:type="gramEnd"/>
      <w:r w:rsidRPr="009C00DC">
        <w:rPr>
          <w:sz w:val="18"/>
          <w:szCs w:val="18"/>
        </w:rPr>
        <w:t xml:space="preserve"> can be accelerated when the outlook for external sector balance improves with rising exports, remittances and foreign investment.</w:t>
      </w:r>
    </w:p>
  </w:footnote>
  <w:footnote w:id="36">
    <w:p w14:paraId="7252D307" w14:textId="77777777" w:rsidR="008912B0" w:rsidRPr="009C00DC" w:rsidRDefault="008912B0" w:rsidP="00A20EF2">
      <w:pPr>
        <w:pStyle w:val="FootnoteText"/>
        <w:jc w:val="both"/>
        <w:rPr>
          <w:sz w:val="18"/>
          <w:szCs w:val="18"/>
          <w:lang w:val="en-GB"/>
        </w:rPr>
      </w:pPr>
      <w:r w:rsidRPr="009C00DC">
        <w:rPr>
          <w:rStyle w:val="FootnoteReference"/>
          <w:sz w:val="18"/>
          <w:szCs w:val="18"/>
        </w:rPr>
        <w:footnoteRef/>
      </w:r>
      <w:r w:rsidRPr="009C00DC">
        <w:rPr>
          <w:sz w:val="18"/>
          <w:szCs w:val="18"/>
        </w:rPr>
        <w:t xml:space="preserve"> </w:t>
      </w:r>
      <w:r w:rsidRPr="009C00DC">
        <w:rPr>
          <w:sz w:val="18"/>
          <w:szCs w:val="18"/>
          <w:lang w:val="en-GB"/>
        </w:rPr>
        <w:t xml:space="preserve">Although it is difficult to quantify the net BOP position over 2020, the threshold level of $150 m annual foreign exchange purchase from the local forex market is based on the CBA’s net forex purchase of $100 m in </w:t>
      </w:r>
      <w:proofErr w:type="gramStart"/>
      <w:r w:rsidRPr="009C00DC">
        <w:rPr>
          <w:sz w:val="18"/>
          <w:szCs w:val="18"/>
          <w:lang w:val="en-GB"/>
        </w:rPr>
        <w:t>2017 which</w:t>
      </w:r>
      <w:proofErr w:type="gramEnd"/>
      <w:r w:rsidRPr="009C00DC">
        <w:rPr>
          <w:sz w:val="18"/>
          <w:szCs w:val="18"/>
          <w:lang w:val="en-GB"/>
        </w:rPr>
        <w:t xml:space="preserve"> is expected to be in higher volume in 2018 predicated by the stable BOP position expected during 2018. Based on the daily turnover of $13 m in the forex market, an annual amount of $150 m forex purchase would constitute one-fifth of the annual turnover. </w:t>
      </w:r>
    </w:p>
  </w:footnote>
  <w:footnote w:id="37">
    <w:p w14:paraId="6E76B910" w14:textId="77777777" w:rsidR="008912B0" w:rsidRPr="00E60FCD" w:rsidRDefault="008912B0" w:rsidP="00A20EF2">
      <w:pPr>
        <w:pStyle w:val="FootnoteText"/>
        <w:jc w:val="both"/>
        <w:rPr>
          <w:lang w:val="en-GB"/>
        </w:rPr>
      </w:pPr>
      <w:r w:rsidRPr="009C00DC">
        <w:rPr>
          <w:rStyle w:val="FootnoteReference"/>
          <w:sz w:val="18"/>
          <w:szCs w:val="18"/>
        </w:rPr>
        <w:footnoteRef/>
      </w:r>
      <w:r w:rsidRPr="009C00DC">
        <w:rPr>
          <w:sz w:val="18"/>
          <w:szCs w:val="18"/>
        </w:rPr>
        <w:t xml:space="preserve"> </w:t>
      </w:r>
      <w:r w:rsidRPr="009C00DC">
        <w:rPr>
          <w:sz w:val="18"/>
          <w:szCs w:val="18"/>
          <w:lang w:val="en-GB"/>
        </w:rPr>
        <w:t xml:space="preserve">Although future changes in the framework of reserve requirement by making separate reserve requirement ratios based on local and foreign currency liabilities could inject more liquidity to the system, it could also block more foreign currency resources in the system and could </w:t>
      </w:r>
      <w:proofErr w:type="gramStart"/>
      <w:r w:rsidRPr="009C00DC">
        <w:rPr>
          <w:sz w:val="18"/>
          <w:szCs w:val="18"/>
          <w:lang w:val="en-GB"/>
        </w:rPr>
        <w:t>impact</w:t>
      </w:r>
      <w:proofErr w:type="gramEnd"/>
      <w:r w:rsidRPr="009C00DC">
        <w:rPr>
          <w:sz w:val="18"/>
          <w:szCs w:val="18"/>
          <w:lang w:val="en-GB"/>
        </w:rPr>
        <w:t xml:space="preserve"> availability of forex in the local market. This could constrain the volume of forex purchase through AMD bond issuance in the domestic market.</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88D8" w14:textId="77777777" w:rsidR="008912B0" w:rsidRDefault="00690235">
    <w:pPr>
      <w:pStyle w:val="Header"/>
    </w:pPr>
    <w:sdt>
      <w:sdtPr>
        <w:id w:val="746378512"/>
        <w:placeholder>
          <w:docPart w:val="CD5EE26D1EBACC44B95F32A7D2CFD290"/>
        </w:placeholder>
        <w:temporary/>
        <w:showingPlcHdr/>
      </w:sdtPr>
      <w:sdtEndPr/>
      <w:sdtContent>
        <w:r w:rsidR="008912B0">
          <w:t>[Type text]</w:t>
        </w:r>
      </w:sdtContent>
    </w:sdt>
    <w:r w:rsidR="008912B0">
      <w:ptab w:relativeTo="margin" w:alignment="center" w:leader="none"/>
    </w:r>
    <w:sdt>
      <w:sdtPr>
        <w:id w:val="1019895488"/>
        <w:placeholder>
          <w:docPart w:val="A38F1BD93F30A24B9099E78FBDD6E6E6"/>
        </w:placeholder>
        <w:temporary/>
        <w:showingPlcHdr/>
      </w:sdtPr>
      <w:sdtEndPr/>
      <w:sdtContent>
        <w:r w:rsidR="008912B0">
          <w:t>[Type text]</w:t>
        </w:r>
      </w:sdtContent>
    </w:sdt>
    <w:r w:rsidR="008912B0">
      <w:ptab w:relativeTo="margin" w:alignment="right" w:leader="none"/>
    </w:r>
    <w:sdt>
      <w:sdtPr>
        <w:id w:val="1342439667"/>
        <w:placeholder>
          <w:docPart w:val="9ABCFA5F3895C240990767A0E816E62C"/>
        </w:placeholder>
        <w:temporary/>
        <w:showingPlcHdr/>
      </w:sdtPr>
      <w:sdtEndPr/>
      <w:sdtContent>
        <w:r w:rsidR="008912B0">
          <w:t>[Type text]</w:t>
        </w:r>
      </w:sdtContent>
    </w:sdt>
  </w:p>
  <w:p w14:paraId="4FF005E0" w14:textId="77777777" w:rsidR="008912B0" w:rsidRDefault="00891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350"/>
    </w:tblGrid>
    <w:sdt>
      <w:sdtPr>
        <w:rPr>
          <w:color w:val="7F7F7F" w:themeColor="background1" w:themeShade="7F"/>
          <w:spacing w:val="60"/>
        </w:rPr>
        <w:id w:val="-319804995"/>
        <w:docPartObj>
          <w:docPartGallery w:val="Page Numbers (Top of Page)"/>
          <w:docPartUnique/>
        </w:docPartObj>
      </w:sdtPr>
      <w:sdtEndPr>
        <w:rPr>
          <w:b/>
          <w:bCs/>
          <w:noProof/>
          <w:color w:val="auto"/>
          <w:spacing w:val="0"/>
        </w:rPr>
      </w:sdtEndPr>
      <w:sdtContent>
        <w:tr w:rsidR="008912B0" w:rsidRPr="002475F3" w14:paraId="0BE951B9" w14:textId="77777777" w:rsidTr="0082080F">
          <w:tc>
            <w:tcPr>
              <w:tcW w:w="8028" w:type="dxa"/>
            </w:tcPr>
            <w:sdt>
              <w:sdtPr>
                <w:rPr>
                  <w:color w:val="7F7F7F" w:themeColor="background1" w:themeShade="7F"/>
                  <w:spacing w:val="60"/>
                </w:rPr>
                <w:id w:val="-541291247"/>
                <w:docPartObj>
                  <w:docPartGallery w:val="Page Numbers (Top of Page)"/>
                  <w:docPartUnique/>
                </w:docPartObj>
              </w:sdtPr>
              <w:sdtEndPr>
                <w:rPr>
                  <w:b/>
                  <w:bCs/>
                  <w:noProof/>
                  <w:color w:val="auto"/>
                  <w:spacing w:val="0"/>
                </w:rPr>
              </w:sdtEndPr>
              <w:sdtContent>
                <w:p w14:paraId="185368B0" w14:textId="17890E2A" w:rsidR="008912B0" w:rsidRPr="001C41EB" w:rsidRDefault="008912B0" w:rsidP="001C41EB">
                  <w:pPr>
                    <w:pStyle w:val="Header"/>
                    <w:tabs>
                      <w:tab w:val="left" w:pos="0"/>
                    </w:tabs>
                    <w:rPr>
                      <w:b/>
                      <w:bCs/>
                      <w:noProof/>
                    </w:rPr>
                  </w:pPr>
                  <w:r>
                    <w:rPr>
                      <w:rFonts w:cs="Arial"/>
                      <w:b/>
                      <w:sz w:val="18"/>
                      <w:szCs w:val="18"/>
                    </w:rPr>
                    <w:t>Inception Report - TA-9332 ARM</w:t>
                  </w:r>
                  <w:r w:rsidRPr="00BB7E11">
                    <w:rPr>
                      <w:rFonts w:cs="Arial"/>
                      <w:b/>
                      <w:sz w:val="18"/>
                      <w:szCs w:val="18"/>
                    </w:rPr>
                    <w:t>: Strengthenin</w:t>
                  </w:r>
                  <w:r>
                    <w:rPr>
                      <w:rFonts w:cs="Arial"/>
                      <w:b/>
                      <w:sz w:val="18"/>
                      <w:szCs w:val="18"/>
                    </w:rPr>
                    <w:t xml:space="preserve">g Public Debt Management </w:t>
                  </w:r>
                  <w:r w:rsidRPr="00BB7E11">
                    <w:rPr>
                      <w:rFonts w:cs="Arial"/>
                      <w:b/>
                      <w:sz w:val="18"/>
                      <w:szCs w:val="18"/>
                    </w:rPr>
                    <w:t xml:space="preserve"> </w:t>
                  </w:r>
                  <w:r>
                    <w:rPr>
                      <w:rFonts w:cs="Arial"/>
                      <w:b/>
                      <w:sz w:val="18"/>
                      <w:szCs w:val="18"/>
                    </w:rPr>
                    <w:t>– Public Debt Management Expert</w:t>
                  </w:r>
                  <w:r w:rsidRPr="00BB7E11">
                    <w:rPr>
                      <w:b/>
                      <w:sz w:val="18"/>
                      <w:szCs w:val="18"/>
                    </w:rPr>
                    <w:ptab w:relativeTo="margin" w:alignment="center" w:leader="none"/>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350" w:type="dxa"/>
            </w:tcPr>
            <w:p w14:paraId="52E3E587" w14:textId="3FDB2AF0" w:rsidR="008912B0" w:rsidRPr="002475F3" w:rsidRDefault="008912B0" w:rsidP="004E0425">
              <w:pPr>
                <w:pStyle w:val="Header"/>
                <w:tabs>
                  <w:tab w:val="clear" w:pos="4320"/>
                  <w:tab w:val="clear" w:pos="8640"/>
                </w:tabs>
                <w:jc w:val="both"/>
                <w:rPr>
                  <w:b/>
                  <w:bCs/>
                </w:rPr>
              </w:pPr>
              <w:r w:rsidRPr="002475F3">
                <w:rPr>
                  <w:color w:val="7F7F7F" w:themeColor="background1" w:themeShade="7F"/>
                  <w:spacing w:val="60"/>
                </w:rPr>
                <w:t>Page</w:t>
              </w:r>
              <w:r w:rsidRPr="002475F3">
                <w:fldChar w:fldCharType="begin"/>
              </w:r>
              <w:r w:rsidRPr="002475F3">
                <w:instrText xml:space="preserve"> PAGE   \* MERGEFORMAT </w:instrText>
              </w:r>
              <w:r w:rsidRPr="002475F3">
                <w:fldChar w:fldCharType="separate"/>
              </w:r>
              <w:r w:rsidR="005964D5" w:rsidRPr="005964D5">
                <w:rPr>
                  <w:b/>
                  <w:bCs/>
                  <w:noProof/>
                </w:rPr>
                <w:t>12</w:t>
              </w:r>
              <w:r w:rsidRPr="002475F3">
                <w:rPr>
                  <w:b/>
                  <w:bCs/>
                  <w:noProof/>
                </w:rPr>
                <w:fldChar w:fldCharType="end"/>
              </w:r>
            </w:p>
          </w:tc>
        </w:tr>
      </w:sdtContent>
    </w:sdt>
  </w:tbl>
  <w:p w14:paraId="7EC98C6D" w14:textId="414481A3" w:rsidR="008912B0" w:rsidRPr="008E1ACA" w:rsidRDefault="008912B0" w:rsidP="00BB7E11">
    <w:pPr>
      <w:pStyle w:val="Header"/>
      <w:tabs>
        <w:tab w:val="left" w:pos="0"/>
      </w:tabs>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71"/>
    </w:tblGrid>
    <w:sdt>
      <w:sdtPr>
        <w:rPr>
          <w:color w:val="7F7F7F" w:themeColor="background1" w:themeShade="7F"/>
          <w:spacing w:val="60"/>
        </w:rPr>
        <w:id w:val="1843963411"/>
        <w:docPartObj>
          <w:docPartGallery w:val="Page Numbers (Top of Page)"/>
          <w:docPartUnique/>
        </w:docPartObj>
      </w:sdtPr>
      <w:sdtEndPr>
        <w:rPr>
          <w:b/>
          <w:bCs/>
          <w:noProof/>
          <w:color w:val="auto"/>
          <w:spacing w:val="0"/>
        </w:rPr>
      </w:sdtEndPr>
      <w:sdtContent>
        <w:tr w:rsidR="008912B0" w:rsidRPr="002475F3" w14:paraId="5259FB58" w14:textId="77777777" w:rsidTr="001C41EB">
          <w:trPr>
            <w:trHeight w:val="180"/>
          </w:trPr>
          <w:tc>
            <w:tcPr>
              <w:tcW w:w="8208" w:type="dxa"/>
            </w:tcPr>
            <w:sdt>
              <w:sdtPr>
                <w:rPr>
                  <w:color w:val="7F7F7F" w:themeColor="background1" w:themeShade="7F"/>
                  <w:spacing w:val="60"/>
                </w:rPr>
                <w:id w:val="2049102196"/>
                <w:docPartObj>
                  <w:docPartGallery w:val="Page Numbers (Top of Page)"/>
                  <w:docPartUnique/>
                </w:docPartObj>
              </w:sdtPr>
              <w:sdtEndPr>
                <w:rPr>
                  <w:b/>
                  <w:bCs/>
                  <w:noProof/>
                  <w:color w:val="auto"/>
                  <w:spacing w:val="0"/>
                </w:rPr>
              </w:sdtEndPr>
              <w:sdtContent>
                <w:p w14:paraId="64A583B3" w14:textId="1C66D5D6" w:rsidR="008912B0" w:rsidRPr="00931EDE" w:rsidRDefault="008912B0" w:rsidP="00745A5E">
                  <w:pPr>
                    <w:pStyle w:val="Header"/>
                    <w:tabs>
                      <w:tab w:val="left" w:pos="0"/>
                    </w:tabs>
                    <w:rPr>
                      <w:rFonts w:cs="Arial"/>
                      <w:b/>
                      <w:sz w:val="18"/>
                      <w:szCs w:val="18"/>
                    </w:rPr>
                  </w:pPr>
                  <w:r>
                    <w:rPr>
                      <w:rFonts w:cs="Arial"/>
                      <w:b/>
                      <w:sz w:val="18"/>
                      <w:szCs w:val="18"/>
                    </w:rPr>
                    <w:t>Inception Report - TA-9332 ARM</w:t>
                  </w:r>
                  <w:r w:rsidRPr="00BB7E11">
                    <w:rPr>
                      <w:rFonts w:cs="Arial"/>
                      <w:b/>
                      <w:sz w:val="18"/>
                      <w:szCs w:val="18"/>
                    </w:rPr>
                    <w:t>: Strengthenin</w:t>
                  </w:r>
                  <w:r>
                    <w:rPr>
                      <w:rFonts w:cs="Arial"/>
                      <w:b/>
                      <w:sz w:val="18"/>
                      <w:szCs w:val="18"/>
                    </w:rPr>
                    <w:t xml:space="preserve">g Public Debt Management </w:t>
                  </w:r>
                  <w:r w:rsidRPr="00BB7E11">
                    <w:rPr>
                      <w:rFonts w:cs="Arial"/>
                      <w:b/>
                      <w:sz w:val="18"/>
                      <w:szCs w:val="18"/>
                    </w:rPr>
                    <w:t xml:space="preserve"> </w:t>
                  </w:r>
                  <w:r>
                    <w:rPr>
                      <w:rFonts w:cs="Arial"/>
                      <w:b/>
                      <w:sz w:val="18"/>
                      <w:szCs w:val="18"/>
                    </w:rPr>
                    <w:t>– Public Debt Management Expert</w:t>
                  </w:r>
                  <w:r w:rsidRPr="00BB7E11">
                    <w:rPr>
                      <w:b/>
                      <w:sz w:val="18"/>
                      <w:szCs w:val="18"/>
                    </w:rPr>
                    <w:ptab w:relativeTo="margin" w:alignment="center" w:leader="none"/>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171" w:type="dxa"/>
            </w:tcPr>
            <w:p w14:paraId="3CBA4E48" w14:textId="5C47ACBC" w:rsidR="008912B0" w:rsidRPr="002475F3" w:rsidRDefault="008912B0" w:rsidP="004A7E4E">
              <w:pPr>
                <w:pStyle w:val="Header"/>
                <w:tabs>
                  <w:tab w:val="clear" w:pos="4320"/>
                  <w:tab w:val="clear" w:pos="8640"/>
                </w:tabs>
                <w:jc w:val="both"/>
                <w:rPr>
                  <w:b/>
                  <w:bCs/>
                </w:rPr>
              </w:pPr>
              <w:r w:rsidRPr="002475F3">
                <w:rPr>
                  <w:color w:val="7F7F7F" w:themeColor="background1" w:themeShade="7F"/>
                  <w:spacing w:val="60"/>
                </w:rPr>
                <w:t>Page</w:t>
              </w:r>
              <w:r w:rsidRPr="002475F3">
                <w:t xml:space="preserve"> </w:t>
              </w:r>
              <w:r w:rsidRPr="002475F3">
                <w:rPr>
                  <w:b/>
                  <w:bCs/>
                  <w:noProof/>
                </w:rPr>
                <w:t>i</w:t>
              </w:r>
            </w:p>
          </w:tc>
        </w:tr>
      </w:sdtContent>
    </w:sdt>
  </w:tbl>
  <w:p w14:paraId="3A491A77" w14:textId="77777777" w:rsidR="008912B0" w:rsidRDefault="008912B0" w:rsidP="0024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087F2E"/>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70B67FB"/>
    <w:multiLevelType w:val="hybridMultilevel"/>
    <w:tmpl w:val="C8A4ED90"/>
    <w:lvl w:ilvl="0" w:tplc="1078389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D127E"/>
    <w:multiLevelType w:val="hybridMultilevel"/>
    <w:tmpl w:val="6A9EC760"/>
    <w:lvl w:ilvl="0" w:tplc="5E8EC70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F7CD0"/>
    <w:multiLevelType w:val="hybridMultilevel"/>
    <w:tmpl w:val="24FA12DC"/>
    <w:lvl w:ilvl="0" w:tplc="F06290EA">
      <w:start w:val="1"/>
      <w:numFmt w:val="bullet"/>
      <w:pStyle w:val="Bullet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954837"/>
    <w:multiLevelType w:val="hybridMultilevel"/>
    <w:tmpl w:val="80408904"/>
    <w:lvl w:ilvl="0" w:tplc="19845C6A">
      <w:start w:val="1"/>
      <w:numFmt w:val="bullet"/>
      <w:lvlText w:val="–"/>
      <w:lvlJc w:val="left"/>
      <w:pPr>
        <w:ind w:left="720" w:hanging="360"/>
      </w:pPr>
      <w:rPr>
        <w:rFonts w:ascii="Arial" w:hAnsi="Arial" w:cs="Arial" w:hint="default"/>
        <w:b/>
        <w:bCs/>
        <w:color w:val="auto"/>
        <w:sz w:val="24"/>
        <w:szCs w:val="24"/>
      </w:rPr>
    </w:lvl>
    <w:lvl w:ilvl="1" w:tplc="D8D01ECA">
      <w:start w:val="1"/>
      <w:numFmt w:val="bullet"/>
      <w:pStyle w:val="Bulletstab"/>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0ECC6454"/>
    <w:multiLevelType w:val="hybridMultilevel"/>
    <w:tmpl w:val="F7EC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4A66"/>
    <w:multiLevelType w:val="hybridMultilevel"/>
    <w:tmpl w:val="F7EC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5CA9"/>
    <w:multiLevelType w:val="hybridMultilevel"/>
    <w:tmpl w:val="4E9AC554"/>
    <w:lvl w:ilvl="0" w:tplc="CB146D4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6667D"/>
    <w:multiLevelType w:val="hybridMultilevel"/>
    <w:tmpl w:val="26420DD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AAD1854"/>
    <w:multiLevelType w:val="hybridMultilevel"/>
    <w:tmpl w:val="ECC4C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26D8F"/>
    <w:multiLevelType w:val="hybridMultilevel"/>
    <w:tmpl w:val="3CBA0A4E"/>
    <w:lvl w:ilvl="0" w:tplc="B2FE37EE">
      <w:start w:val="1"/>
      <w:numFmt w:val="upperRoman"/>
      <w:pStyle w:val="Topic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87FA9"/>
    <w:multiLevelType w:val="hybridMultilevel"/>
    <w:tmpl w:val="9FD40B1E"/>
    <w:lvl w:ilvl="0" w:tplc="C1D82FA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47C4C"/>
    <w:multiLevelType w:val="hybridMultilevel"/>
    <w:tmpl w:val="0E66E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C1986"/>
    <w:multiLevelType w:val="hybridMultilevel"/>
    <w:tmpl w:val="A5F41B9E"/>
    <w:lvl w:ilvl="0" w:tplc="5B04107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92FBE"/>
    <w:multiLevelType w:val="multilevel"/>
    <w:tmpl w:val="0AE2C1F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6C5BC2"/>
    <w:multiLevelType w:val="hybridMultilevel"/>
    <w:tmpl w:val="C60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302D"/>
    <w:multiLevelType w:val="hybridMultilevel"/>
    <w:tmpl w:val="F42CEBBA"/>
    <w:lvl w:ilvl="0" w:tplc="B65ECA4E">
      <w:start w:val="3"/>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1510A"/>
    <w:multiLevelType w:val="hybridMultilevel"/>
    <w:tmpl w:val="F7EC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C230C"/>
    <w:multiLevelType w:val="hybridMultilevel"/>
    <w:tmpl w:val="E850DDD8"/>
    <w:lvl w:ilvl="0" w:tplc="6942A2B2">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B1DF2"/>
    <w:multiLevelType w:val="multilevel"/>
    <w:tmpl w:val="0BCAC0BA"/>
    <w:lvl w:ilvl="0">
      <w:start w:val="1"/>
      <w:numFmt w:val="decimal"/>
      <w:lvlText w:val="%1."/>
      <w:lvlJc w:val="left"/>
      <w:pPr>
        <w:ind w:left="360" w:hanging="360"/>
      </w:pPr>
      <w:rPr>
        <w:rFonts w:ascii="Arial" w:hAnsi="Arial" w:cs="Arial" w:hint="default"/>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A1224E"/>
    <w:multiLevelType w:val="hybridMultilevel"/>
    <w:tmpl w:val="83FA751C"/>
    <w:lvl w:ilvl="0" w:tplc="4B94FBD8">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D2B95"/>
    <w:multiLevelType w:val="hybridMultilevel"/>
    <w:tmpl w:val="F7EC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64BE5"/>
    <w:multiLevelType w:val="multilevel"/>
    <w:tmpl w:val="38489BD8"/>
    <w:lvl w:ilvl="0">
      <w:start w:val="1"/>
      <w:numFmt w:val="decimal"/>
      <w:pStyle w:val="List1"/>
      <w:lvlText w:val="%1."/>
      <w:lvlJc w:val="left"/>
      <w:pPr>
        <w:tabs>
          <w:tab w:val="num" w:pos="397"/>
        </w:tabs>
        <w:ind w:left="432" w:hanging="432"/>
      </w:pPr>
      <w:rPr>
        <w:rFonts w:cs="Times New Roman" w:hint="default"/>
        <w:color w:val="auto"/>
      </w:rPr>
    </w:lvl>
    <w:lvl w:ilvl="1">
      <w:start w:val="1"/>
      <w:numFmt w:val="lowerRoman"/>
      <w:pStyle w:val="List2"/>
      <w:lvlText w:val="%2."/>
      <w:lvlJc w:val="left"/>
      <w:pPr>
        <w:tabs>
          <w:tab w:val="num" w:pos="1008"/>
        </w:tabs>
        <w:ind w:left="1008" w:hanging="576"/>
      </w:pPr>
      <w:rPr>
        <w:rFonts w:cs="Times New Roman" w:hint="default"/>
        <w:color w:val="auto"/>
      </w:rPr>
    </w:lvl>
    <w:lvl w:ilvl="2">
      <w:start w:val="1"/>
      <w:numFmt w:val="lowerLetter"/>
      <w:pStyle w:val="List3"/>
      <w:lvlText w:val="%3."/>
      <w:lvlJc w:val="left"/>
      <w:pPr>
        <w:tabs>
          <w:tab w:val="num" w:pos="1440"/>
        </w:tabs>
        <w:ind w:left="1440" w:hanging="432"/>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DFA3F7C"/>
    <w:multiLevelType w:val="multilevel"/>
    <w:tmpl w:val="A5F41B9E"/>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7451A"/>
    <w:multiLevelType w:val="hybridMultilevel"/>
    <w:tmpl w:val="5ED0B376"/>
    <w:lvl w:ilvl="0" w:tplc="2A009EDA">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66BFE"/>
    <w:multiLevelType w:val="hybridMultilevel"/>
    <w:tmpl w:val="968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B045B8"/>
    <w:multiLevelType w:val="hybridMultilevel"/>
    <w:tmpl w:val="1CBA715A"/>
    <w:lvl w:ilvl="0" w:tplc="0B225A64">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A7C4C"/>
    <w:multiLevelType w:val="hybridMultilevel"/>
    <w:tmpl w:val="A344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A60C18"/>
    <w:multiLevelType w:val="multilevel"/>
    <w:tmpl w:val="59C2C1C4"/>
    <w:lvl w:ilvl="0">
      <w:start w:val="2"/>
      <w:numFmt w:val="upperRoman"/>
      <w:lvlText w:val="%1."/>
      <w:lvlJc w:val="righ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A152934"/>
    <w:multiLevelType w:val="hybridMultilevel"/>
    <w:tmpl w:val="CC6CD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C02E4"/>
    <w:multiLevelType w:val="hybridMultilevel"/>
    <w:tmpl w:val="143A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750F5"/>
    <w:multiLevelType w:val="hybridMultilevel"/>
    <w:tmpl w:val="1598C6F6"/>
    <w:lvl w:ilvl="0" w:tplc="AC4A2242">
      <w:start w:val="1"/>
      <w:numFmt w:val="upperLetter"/>
      <w:pStyle w:val="Topic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EE1678"/>
    <w:multiLevelType w:val="hybridMultilevel"/>
    <w:tmpl w:val="44E43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460CC3"/>
    <w:multiLevelType w:val="hybridMultilevel"/>
    <w:tmpl w:val="89BA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77DAF"/>
    <w:multiLevelType w:val="hybridMultilevel"/>
    <w:tmpl w:val="4770E2F0"/>
    <w:lvl w:ilvl="0" w:tplc="4B16F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AD367B"/>
    <w:multiLevelType w:val="hybridMultilevel"/>
    <w:tmpl w:val="820ED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E80793"/>
    <w:multiLevelType w:val="hybridMultilevel"/>
    <w:tmpl w:val="954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B7A95"/>
    <w:multiLevelType w:val="hybridMultilevel"/>
    <w:tmpl w:val="55D2B458"/>
    <w:lvl w:ilvl="0" w:tplc="C48A6918">
      <w:start w:val="1"/>
      <w:numFmt w:val="lowerLetter"/>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353EB9"/>
    <w:multiLevelType w:val="hybridMultilevel"/>
    <w:tmpl w:val="F04AED90"/>
    <w:lvl w:ilvl="0" w:tplc="5A7CC7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2A0F08"/>
    <w:multiLevelType w:val="hybridMultilevel"/>
    <w:tmpl w:val="8F54ED7A"/>
    <w:lvl w:ilvl="0" w:tplc="197AA4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DF2544"/>
    <w:multiLevelType w:val="hybridMultilevel"/>
    <w:tmpl w:val="2D462400"/>
    <w:lvl w:ilvl="0" w:tplc="88DA985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759DF"/>
    <w:multiLevelType w:val="hybridMultilevel"/>
    <w:tmpl w:val="4FD8673C"/>
    <w:lvl w:ilvl="0" w:tplc="FA5E725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F77FA"/>
    <w:multiLevelType w:val="hybridMultilevel"/>
    <w:tmpl w:val="B0DEC1E0"/>
    <w:lvl w:ilvl="0" w:tplc="20A0F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4478D"/>
    <w:multiLevelType w:val="hybridMultilevel"/>
    <w:tmpl w:val="8C763510"/>
    <w:lvl w:ilvl="0" w:tplc="D92ADE1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32"/>
  </w:num>
  <w:num w:numId="5">
    <w:abstractNumId w:val="14"/>
  </w:num>
  <w:num w:numId="6">
    <w:abstractNumId w:val="18"/>
  </w:num>
  <w:num w:numId="7">
    <w:abstractNumId w:val="2"/>
  </w:num>
  <w:num w:numId="8">
    <w:abstractNumId w:val="28"/>
  </w:num>
  <w:num w:numId="9">
    <w:abstractNumId w:val="20"/>
  </w:num>
  <w:num w:numId="10">
    <w:abstractNumId w:val="40"/>
  </w:num>
  <w:num w:numId="11">
    <w:abstractNumId w:val="26"/>
  </w:num>
  <w:num w:numId="12">
    <w:abstractNumId w:val="41"/>
  </w:num>
  <w:num w:numId="13">
    <w:abstractNumId w:val="10"/>
  </w:num>
  <w:num w:numId="14">
    <w:abstractNumId w:val="17"/>
  </w:num>
  <w:num w:numId="15">
    <w:abstractNumId w:val="11"/>
  </w:num>
  <w:num w:numId="16">
    <w:abstractNumId w:val="7"/>
  </w:num>
  <w:num w:numId="17">
    <w:abstractNumId w:val="4"/>
  </w:num>
  <w:num w:numId="18">
    <w:abstractNumId w:val="0"/>
  </w:num>
  <w:num w:numId="19">
    <w:abstractNumId w:val="35"/>
  </w:num>
  <w:num w:numId="20">
    <w:abstractNumId w:val="36"/>
  </w:num>
  <w:num w:numId="21">
    <w:abstractNumId w:val="13"/>
  </w:num>
  <w:num w:numId="22">
    <w:abstractNumId w:val="23"/>
  </w:num>
  <w:num w:numId="23">
    <w:abstractNumId w:val="16"/>
  </w:num>
  <w:num w:numId="24">
    <w:abstractNumId w:val="15"/>
  </w:num>
  <w:num w:numId="25">
    <w:abstractNumId w:val="30"/>
  </w:num>
  <w:num w:numId="26">
    <w:abstractNumId w:val="25"/>
  </w:num>
  <w:num w:numId="27">
    <w:abstractNumId w:val="42"/>
  </w:num>
  <w:num w:numId="28">
    <w:abstractNumId w:val="8"/>
  </w:num>
  <w:num w:numId="29">
    <w:abstractNumId w:val="37"/>
  </w:num>
  <w:num w:numId="30">
    <w:abstractNumId w:val="34"/>
  </w:num>
  <w:num w:numId="31">
    <w:abstractNumId w:val="9"/>
  </w:num>
  <w:num w:numId="32">
    <w:abstractNumId w:val="27"/>
  </w:num>
  <w:num w:numId="33">
    <w:abstractNumId w:val="43"/>
  </w:num>
  <w:num w:numId="34">
    <w:abstractNumId w:val="12"/>
  </w:num>
  <w:num w:numId="35">
    <w:abstractNumId w:val="24"/>
  </w:num>
  <w:num w:numId="36">
    <w:abstractNumId w:val="39"/>
  </w:num>
  <w:num w:numId="37">
    <w:abstractNumId w:val="6"/>
  </w:num>
  <w:num w:numId="38">
    <w:abstractNumId w:val="21"/>
  </w:num>
  <w:num w:numId="39">
    <w:abstractNumId w:val="5"/>
  </w:num>
  <w:num w:numId="40">
    <w:abstractNumId w:val="1"/>
  </w:num>
  <w:num w:numId="41">
    <w:abstractNumId w:val="31"/>
  </w:num>
  <w:num w:numId="42">
    <w:abstractNumId w:val="31"/>
    <w:lvlOverride w:ilvl="0">
      <w:startOverride w:val="1"/>
    </w:lvlOverride>
  </w:num>
  <w:num w:numId="43">
    <w:abstractNumId w:val="38"/>
  </w:num>
  <w:num w:numId="44">
    <w:abstractNumId w:val="33"/>
  </w:num>
  <w:num w:numId="4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9"/>
    <w:rsid w:val="00000A51"/>
    <w:rsid w:val="00001398"/>
    <w:rsid w:val="000018F3"/>
    <w:rsid w:val="00006E8D"/>
    <w:rsid w:val="00010BA6"/>
    <w:rsid w:val="000141AE"/>
    <w:rsid w:val="00023019"/>
    <w:rsid w:val="0002333D"/>
    <w:rsid w:val="00032D54"/>
    <w:rsid w:val="00035758"/>
    <w:rsid w:val="000400C0"/>
    <w:rsid w:val="000405F6"/>
    <w:rsid w:val="000424D7"/>
    <w:rsid w:val="00045727"/>
    <w:rsid w:val="000470CC"/>
    <w:rsid w:val="0004773A"/>
    <w:rsid w:val="00047E40"/>
    <w:rsid w:val="00054859"/>
    <w:rsid w:val="000621C7"/>
    <w:rsid w:val="000730D1"/>
    <w:rsid w:val="00086991"/>
    <w:rsid w:val="00091F48"/>
    <w:rsid w:val="00096F56"/>
    <w:rsid w:val="000A3B0C"/>
    <w:rsid w:val="000A4DB0"/>
    <w:rsid w:val="000A4E7B"/>
    <w:rsid w:val="000A630C"/>
    <w:rsid w:val="000A7247"/>
    <w:rsid w:val="000B0B75"/>
    <w:rsid w:val="000B23BF"/>
    <w:rsid w:val="000B2ACA"/>
    <w:rsid w:val="000B45A3"/>
    <w:rsid w:val="000B6612"/>
    <w:rsid w:val="000C0862"/>
    <w:rsid w:val="000C0973"/>
    <w:rsid w:val="000C0B02"/>
    <w:rsid w:val="000C56D5"/>
    <w:rsid w:val="000C6B03"/>
    <w:rsid w:val="000C7A31"/>
    <w:rsid w:val="000D2DF0"/>
    <w:rsid w:val="000D31FF"/>
    <w:rsid w:val="000D6155"/>
    <w:rsid w:val="000E3DB7"/>
    <w:rsid w:val="000E4C08"/>
    <w:rsid w:val="00100A82"/>
    <w:rsid w:val="0011207F"/>
    <w:rsid w:val="00116816"/>
    <w:rsid w:val="00117747"/>
    <w:rsid w:val="00117DF3"/>
    <w:rsid w:val="00123D8A"/>
    <w:rsid w:val="00125C74"/>
    <w:rsid w:val="00125EBA"/>
    <w:rsid w:val="00134C96"/>
    <w:rsid w:val="0013791C"/>
    <w:rsid w:val="001414AF"/>
    <w:rsid w:val="001426FA"/>
    <w:rsid w:val="00142DDF"/>
    <w:rsid w:val="00143746"/>
    <w:rsid w:val="00145832"/>
    <w:rsid w:val="00147507"/>
    <w:rsid w:val="00152F30"/>
    <w:rsid w:val="00154133"/>
    <w:rsid w:val="00154C04"/>
    <w:rsid w:val="001612CE"/>
    <w:rsid w:val="00161647"/>
    <w:rsid w:val="00164770"/>
    <w:rsid w:val="00164E21"/>
    <w:rsid w:val="001667F5"/>
    <w:rsid w:val="00171C81"/>
    <w:rsid w:val="00172D96"/>
    <w:rsid w:val="0017377B"/>
    <w:rsid w:val="001803FA"/>
    <w:rsid w:val="00184756"/>
    <w:rsid w:val="00186932"/>
    <w:rsid w:val="00190C9E"/>
    <w:rsid w:val="001916FE"/>
    <w:rsid w:val="0019192D"/>
    <w:rsid w:val="00191D6D"/>
    <w:rsid w:val="00192A68"/>
    <w:rsid w:val="001933DE"/>
    <w:rsid w:val="00193AC9"/>
    <w:rsid w:val="00193B92"/>
    <w:rsid w:val="00196093"/>
    <w:rsid w:val="001A07D9"/>
    <w:rsid w:val="001A33F4"/>
    <w:rsid w:val="001B1CCF"/>
    <w:rsid w:val="001B55DF"/>
    <w:rsid w:val="001C16C6"/>
    <w:rsid w:val="001C1C12"/>
    <w:rsid w:val="001C1E53"/>
    <w:rsid w:val="001C2691"/>
    <w:rsid w:val="001C41EB"/>
    <w:rsid w:val="001C476D"/>
    <w:rsid w:val="001C4B48"/>
    <w:rsid w:val="001C57B6"/>
    <w:rsid w:val="001C7BEA"/>
    <w:rsid w:val="001D069C"/>
    <w:rsid w:val="001D3C2D"/>
    <w:rsid w:val="001D4A14"/>
    <w:rsid w:val="001D53EF"/>
    <w:rsid w:val="001D6976"/>
    <w:rsid w:val="001E1C61"/>
    <w:rsid w:val="001E4373"/>
    <w:rsid w:val="001E46E3"/>
    <w:rsid w:val="001F31A9"/>
    <w:rsid w:val="001F37C7"/>
    <w:rsid w:val="001F4A21"/>
    <w:rsid w:val="001F4F13"/>
    <w:rsid w:val="002002C6"/>
    <w:rsid w:val="00200C5C"/>
    <w:rsid w:val="00201C1A"/>
    <w:rsid w:val="00204BC1"/>
    <w:rsid w:val="002065CA"/>
    <w:rsid w:val="00210078"/>
    <w:rsid w:val="00210753"/>
    <w:rsid w:val="00212C1F"/>
    <w:rsid w:val="00215017"/>
    <w:rsid w:val="002177DC"/>
    <w:rsid w:val="00221B5B"/>
    <w:rsid w:val="002262A0"/>
    <w:rsid w:val="00226BF6"/>
    <w:rsid w:val="002279ED"/>
    <w:rsid w:val="00231EE8"/>
    <w:rsid w:val="00234A79"/>
    <w:rsid w:val="00235C1E"/>
    <w:rsid w:val="002371DF"/>
    <w:rsid w:val="002469A7"/>
    <w:rsid w:val="00246EC2"/>
    <w:rsid w:val="002475F3"/>
    <w:rsid w:val="00253495"/>
    <w:rsid w:val="002565B6"/>
    <w:rsid w:val="0025699F"/>
    <w:rsid w:val="00256FF3"/>
    <w:rsid w:val="00257E9C"/>
    <w:rsid w:val="0026111F"/>
    <w:rsid w:val="00261136"/>
    <w:rsid w:val="00261333"/>
    <w:rsid w:val="002660AB"/>
    <w:rsid w:val="002673FE"/>
    <w:rsid w:val="002701F4"/>
    <w:rsid w:val="0027439B"/>
    <w:rsid w:val="00280710"/>
    <w:rsid w:val="00280B9B"/>
    <w:rsid w:val="00281FB5"/>
    <w:rsid w:val="00282A17"/>
    <w:rsid w:val="002832EB"/>
    <w:rsid w:val="00290212"/>
    <w:rsid w:val="002973B7"/>
    <w:rsid w:val="002A0E63"/>
    <w:rsid w:val="002A552F"/>
    <w:rsid w:val="002C298F"/>
    <w:rsid w:val="002C3574"/>
    <w:rsid w:val="002C40A9"/>
    <w:rsid w:val="002C7D6A"/>
    <w:rsid w:val="002E1B88"/>
    <w:rsid w:val="002E25B6"/>
    <w:rsid w:val="002E2982"/>
    <w:rsid w:val="002F0313"/>
    <w:rsid w:val="002F0CE4"/>
    <w:rsid w:val="002F1269"/>
    <w:rsid w:val="002F1CC7"/>
    <w:rsid w:val="00301B41"/>
    <w:rsid w:val="00303615"/>
    <w:rsid w:val="00307F68"/>
    <w:rsid w:val="003103DC"/>
    <w:rsid w:val="003155E6"/>
    <w:rsid w:val="00315C03"/>
    <w:rsid w:val="00321B08"/>
    <w:rsid w:val="003224C3"/>
    <w:rsid w:val="0032254A"/>
    <w:rsid w:val="003265D1"/>
    <w:rsid w:val="003302F5"/>
    <w:rsid w:val="003314AD"/>
    <w:rsid w:val="003317FF"/>
    <w:rsid w:val="00334FD4"/>
    <w:rsid w:val="003350F0"/>
    <w:rsid w:val="00335383"/>
    <w:rsid w:val="00335878"/>
    <w:rsid w:val="00335E39"/>
    <w:rsid w:val="00337A26"/>
    <w:rsid w:val="00340A54"/>
    <w:rsid w:val="003533A7"/>
    <w:rsid w:val="00355527"/>
    <w:rsid w:val="0036062C"/>
    <w:rsid w:val="00367500"/>
    <w:rsid w:val="00370F8A"/>
    <w:rsid w:val="003722E3"/>
    <w:rsid w:val="00372869"/>
    <w:rsid w:val="00373A61"/>
    <w:rsid w:val="00375287"/>
    <w:rsid w:val="00383166"/>
    <w:rsid w:val="00384945"/>
    <w:rsid w:val="003857A1"/>
    <w:rsid w:val="00385AA5"/>
    <w:rsid w:val="00386FBE"/>
    <w:rsid w:val="00391EA0"/>
    <w:rsid w:val="003957EA"/>
    <w:rsid w:val="003A404D"/>
    <w:rsid w:val="003A569F"/>
    <w:rsid w:val="003B56E3"/>
    <w:rsid w:val="003B5819"/>
    <w:rsid w:val="003C11B4"/>
    <w:rsid w:val="003C2E6B"/>
    <w:rsid w:val="003C2F14"/>
    <w:rsid w:val="003C659A"/>
    <w:rsid w:val="003D2C95"/>
    <w:rsid w:val="003D6B23"/>
    <w:rsid w:val="003E3226"/>
    <w:rsid w:val="003E348D"/>
    <w:rsid w:val="003E759F"/>
    <w:rsid w:val="003F15EE"/>
    <w:rsid w:val="003F5413"/>
    <w:rsid w:val="00400FBD"/>
    <w:rsid w:val="004066CF"/>
    <w:rsid w:val="004127C1"/>
    <w:rsid w:val="004134AF"/>
    <w:rsid w:val="00413675"/>
    <w:rsid w:val="00413C28"/>
    <w:rsid w:val="00413C50"/>
    <w:rsid w:val="004151EB"/>
    <w:rsid w:val="004158B9"/>
    <w:rsid w:val="00416A41"/>
    <w:rsid w:val="00417A3C"/>
    <w:rsid w:val="00422915"/>
    <w:rsid w:val="00423C15"/>
    <w:rsid w:val="004248B0"/>
    <w:rsid w:val="0042581C"/>
    <w:rsid w:val="00425A03"/>
    <w:rsid w:val="00426101"/>
    <w:rsid w:val="00430AA3"/>
    <w:rsid w:val="00430FCF"/>
    <w:rsid w:val="00435205"/>
    <w:rsid w:val="00436788"/>
    <w:rsid w:val="00437A15"/>
    <w:rsid w:val="00445D11"/>
    <w:rsid w:val="00453996"/>
    <w:rsid w:val="00453EA1"/>
    <w:rsid w:val="00454003"/>
    <w:rsid w:val="00454389"/>
    <w:rsid w:val="00455BD8"/>
    <w:rsid w:val="00464C0E"/>
    <w:rsid w:val="00466D0E"/>
    <w:rsid w:val="00467A44"/>
    <w:rsid w:val="004733DD"/>
    <w:rsid w:val="004861B4"/>
    <w:rsid w:val="00486EC3"/>
    <w:rsid w:val="00487DD7"/>
    <w:rsid w:val="00495F4E"/>
    <w:rsid w:val="00496B37"/>
    <w:rsid w:val="004978AE"/>
    <w:rsid w:val="004A7E4E"/>
    <w:rsid w:val="004B20AD"/>
    <w:rsid w:val="004B2F1B"/>
    <w:rsid w:val="004B4B3A"/>
    <w:rsid w:val="004B52CE"/>
    <w:rsid w:val="004B545F"/>
    <w:rsid w:val="004B74BF"/>
    <w:rsid w:val="004C0C0F"/>
    <w:rsid w:val="004C292B"/>
    <w:rsid w:val="004C2D1D"/>
    <w:rsid w:val="004C3F0D"/>
    <w:rsid w:val="004C56F5"/>
    <w:rsid w:val="004D1F72"/>
    <w:rsid w:val="004D23B3"/>
    <w:rsid w:val="004D35C8"/>
    <w:rsid w:val="004D367B"/>
    <w:rsid w:val="004D3858"/>
    <w:rsid w:val="004D3946"/>
    <w:rsid w:val="004D3A9A"/>
    <w:rsid w:val="004D5784"/>
    <w:rsid w:val="004D70AD"/>
    <w:rsid w:val="004E0425"/>
    <w:rsid w:val="004E4989"/>
    <w:rsid w:val="004E4F27"/>
    <w:rsid w:val="004E7CD2"/>
    <w:rsid w:val="004F108E"/>
    <w:rsid w:val="004F36E0"/>
    <w:rsid w:val="00501835"/>
    <w:rsid w:val="00502316"/>
    <w:rsid w:val="00513434"/>
    <w:rsid w:val="00514638"/>
    <w:rsid w:val="005156A9"/>
    <w:rsid w:val="005206FD"/>
    <w:rsid w:val="0052131F"/>
    <w:rsid w:val="00521EBB"/>
    <w:rsid w:val="0052239C"/>
    <w:rsid w:val="00523465"/>
    <w:rsid w:val="0052399D"/>
    <w:rsid w:val="00524A7A"/>
    <w:rsid w:val="00524E09"/>
    <w:rsid w:val="0052542D"/>
    <w:rsid w:val="00525E54"/>
    <w:rsid w:val="0053105C"/>
    <w:rsid w:val="00535B20"/>
    <w:rsid w:val="005409B3"/>
    <w:rsid w:val="005410BB"/>
    <w:rsid w:val="00541F51"/>
    <w:rsid w:val="005438F2"/>
    <w:rsid w:val="005446AF"/>
    <w:rsid w:val="00546669"/>
    <w:rsid w:val="005509AD"/>
    <w:rsid w:val="0055168A"/>
    <w:rsid w:val="00555A2A"/>
    <w:rsid w:val="00555D87"/>
    <w:rsid w:val="00555DD3"/>
    <w:rsid w:val="00560BDC"/>
    <w:rsid w:val="00566A1F"/>
    <w:rsid w:val="00567687"/>
    <w:rsid w:val="00570B09"/>
    <w:rsid w:val="00571A0E"/>
    <w:rsid w:val="0057643A"/>
    <w:rsid w:val="00580188"/>
    <w:rsid w:val="0058519F"/>
    <w:rsid w:val="00585D83"/>
    <w:rsid w:val="0059070A"/>
    <w:rsid w:val="00590921"/>
    <w:rsid w:val="0059150B"/>
    <w:rsid w:val="0059479C"/>
    <w:rsid w:val="005964D5"/>
    <w:rsid w:val="00596A46"/>
    <w:rsid w:val="00596F16"/>
    <w:rsid w:val="005976C2"/>
    <w:rsid w:val="00597C68"/>
    <w:rsid w:val="005A0D4F"/>
    <w:rsid w:val="005A1594"/>
    <w:rsid w:val="005A1BFF"/>
    <w:rsid w:val="005A2931"/>
    <w:rsid w:val="005A46D8"/>
    <w:rsid w:val="005B48F4"/>
    <w:rsid w:val="005B5CE4"/>
    <w:rsid w:val="005C0920"/>
    <w:rsid w:val="005C1C1A"/>
    <w:rsid w:val="005C3942"/>
    <w:rsid w:val="005C6428"/>
    <w:rsid w:val="005C6D20"/>
    <w:rsid w:val="005D182B"/>
    <w:rsid w:val="005D426A"/>
    <w:rsid w:val="005D5C88"/>
    <w:rsid w:val="005E46E7"/>
    <w:rsid w:val="005E5DC5"/>
    <w:rsid w:val="005F43F5"/>
    <w:rsid w:val="005F7982"/>
    <w:rsid w:val="00602676"/>
    <w:rsid w:val="00603912"/>
    <w:rsid w:val="00604421"/>
    <w:rsid w:val="00604E49"/>
    <w:rsid w:val="00605D5B"/>
    <w:rsid w:val="00610343"/>
    <w:rsid w:val="00611444"/>
    <w:rsid w:val="006118A7"/>
    <w:rsid w:val="006129C9"/>
    <w:rsid w:val="00613491"/>
    <w:rsid w:val="00615EB8"/>
    <w:rsid w:val="00617369"/>
    <w:rsid w:val="0062256A"/>
    <w:rsid w:val="006244B4"/>
    <w:rsid w:val="00626528"/>
    <w:rsid w:val="006265E4"/>
    <w:rsid w:val="0062704C"/>
    <w:rsid w:val="00634088"/>
    <w:rsid w:val="0063643A"/>
    <w:rsid w:val="00640306"/>
    <w:rsid w:val="00640768"/>
    <w:rsid w:val="006426DB"/>
    <w:rsid w:val="0064479F"/>
    <w:rsid w:val="006450FE"/>
    <w:rsid w:val="006465BE"/>
    <w:rsid w:val="006468D2"/>
    <w:rsid w:val="00650BF7"/>
    <w:rsid w:val="00653337"/>
    <w:rsid w:val="00653CB2"/>
    <w:rsid w:val="006556C7"/>
    <w:rsid w:val="006564D5"/>
    <w:rsid w:val="00656758"/>
    <w:rsid w:val="00661591"/>
    <w:rsid w:val="00661A35"/>
    <w:rsid w:val="00662C14"/>
    <w:rsid w:val="00667D52"/>
    <w:rsid w:val="00671DA3"/>
    <w:rsid w:val="0067773D"/>
    <w:rsid w:val="0068055B"/>
    <w:rsid w:val="00685F7E"/>
    <w:rsid w:val="00687143"/>
    <w:rsid w:val="00690235"/>
    <w:rsid w:val="006914F9"/>
    <w:rsid w:val="00691F71"/>
    <w:rsid w:val="00692F16"/>
    <w:rsid w:val="0069373B"/>
    <w:rsid w:val="006940BB"/>
    <w:rsid w:val="00694EFE"/>
    <w:rsid w:val="00696DAC"/>
    <w:rsid w:val="006A59F3"/>
    <w:rsid w:val="006A5CB1"/>
    <w:rsid w:val="006A6B4E"/>
    <w:rsid w:val="006A6BFD"/>
    <w:rsid w:val="006A6E28"/>
    <w:rsid w:val="006A76DD"/>
    <w:rsid w:val="006B224A"/>
    <w:rsid w:val="006B3930"/>
    <w:rsid w:val="006C1528"/>
    <w:rsid w:val="006C2B1F"/>
    <w:rsid w:val="006C5B86"/>
    <w:rsid w:val="006C7C11"/>
    <w:rsid w:val="006D3EDF"/>
    <w:rsid w:val="006D3F08"/>
    <w:rsid w:val="006D60BF"/>
    <w:rsid w:val="006E1578"/>
    <w:rsid w:val="006E166B"/>
    <w:rsid w:val="006E3A1A"/>
    <w:rsid w:val="006E6230"/>
    <w:rsid w:val="006E69BD"/>
    <w:rsid w:val="006F04EF"/>
    <w:rsid w:val="006F242B"/>
    <w:rsid w:val="006F2B30"/>
    <w:rsid w:val="006F4817"/>
    <w:rsid w:val="006F5909"/>
    <w:rsid w:val="00701226"/>
    <w:rsid w:val="0070199C"/>
    <w:rsid w:val="0070500B"/>
    <w:rsid w:val="00705504"/>
    <w:rsid w:val="0071223E"/>
    <w:rsid w:val="00712363"/>
    <w:rsid w:val="00713010"/>
    <w:rsid w:val="00715DD6"/>
    <w:rsid w:val="00716950"/>
    <w:rsid w:val="00717B11"/>
    <w:rsid w:val="00722174"/>
    <w:rsid w:val="00722A00"/>
    <w:rsid w:val="00726A12"/>
    <w:rsid w:val="00727B44"/>
    <w:rsid w:val="00733C24"/>
    <w:rsid w:val="007362A0"/>
    <w:rsid w:val="00737093"/>
    <w:rsid w:val="007425CA"/>
    <w:rsid w:val="00744DF2"/>
    <w:rsid w:val="00745A5E"/>
    <w:rsid w:val="00745D82"/>
    <w:rsid w:val="00747B9B"/>
    <w:rsid w:val="00761F18"/>
    <w:rsid w:val="00762B48"/>
    <w:rsid w:val="00762C9D"/>
    <w:rsid w:val="00763B10"/>
    <w:rsid w:val="0076556D"/>
    <w:rsid w:val="00765DA1"/>
    <w:rsid w:val="00773816"/>
    <w:rsid w:val="00773B97"/>
    <w:rsid w:val="007765D0"/>
    <w:rsid w:val="00777C3E"/>
    <w:rsid w:val="00777D38"/>
    <w:rsid w:val="0078340E"/>
    <w:rsid w:val="00786239"/>
    <w:rsid w:val="007878C8"/>
    <w:rsid w:val="00793610"/>
    <w:rsid w:val="00794A29"/>
    <w:rsid w:val="0079511F"/>
    <w:rsid w:val="00796075"/>
    <w:rsid w:val="00796707"/>
    <w:rsid w:val="007A5BBD"/>
    <w:rsid w:val="007B057E"/>
    <w:rsid w:val="007B1392"/>
    <w:rsid w:val="007B2FD3"/>
    <w:rsid w:val="007B51B7"/>
    <w:rsid w:val="007B5A84"/>
    <w:rsid w:val="007C0682"/>
    <w:rsid w:val="007C1706"/>
    <w:rsid w:val="007C1A6F"/>
    <w:rsid w:val="007C343F"/>
    <w:rsid w:val="007C5D02"/>
    <w:rsid w:val="007C6B79"/>
    <w:rsid w:val="007D21A8"/>
    <w:rsid w:val="007D2F1B"/>
    <w:rsid w:val="007D3295"/>
    <w:rsid w:val="007D394D"/>
    <w:rsid w:val="007D5FE6"/>
    <w:rsid w:val="007E2D0E"/>
    <w:rsid w:val="007E3533"/>
    <w:rsid w:val="007E5622"/>
    <w:rsid w:val="007F3A54"/>
    <w:rsid w:val="007F764B"/>
    <w:rsid w:val="00800BFC"/>
    <w:rsid w:val="00801239"/>
    <w:rsid w:val="0082080F"/>
    <w:rsid w:val="008214BD"/>
    <w:rsid w:val="00831424"/>
    <w:rsid w:val="00832536"/>
    <w:rsid w:val="0084301F"/>
    <w:rsid w:val="0084352E"/>
    <w:rsid w:val="00847866"/>
    <w:rsid w:val="00854A2F"/>
    <w:rsid w:val="008570D4"/>
    <w:rsid w:val="0085757E"/>
    <w:rsid w:val="00857751"/>
    <w:rsid w:val="00867CD8"/>
    <w:rsid w:val="00872386"/>
    <w:rsid w:val="00873567"/>
    <w:rsid w:val="00873D47"/>
    <w:rsid w:val="00876AA8"/>
    <w:rsid w:val="00877402"/>
    <w:rsid w:val="008844E8"/>
    <w:rsid w:val="00885685"/>
    <w:rsid w:val="00885C5E"/>
    <w:rsid w:val="00886027"/>
    <w:rsid w:val="00887136"/>
    <w:rsid w:val="008912B0"/>
    <w:rsid w:val="00893657"/>
    <w:rsid w:val="00894A7C"/>
    <w:rsid w:val="00897C07"/>
    <w:rsid w:val="008A07F2"/>
    <w:rsid w:val="008A0A86"/>
    <w:rsid w:val="008A2C67"/>
    <w:rsid w:val="008B1A3C"/>
    <w:rsid w:val="008B21BA"/>
    <w:rsid w:val="008C12BA"/>
    <w:rsid w:val="008C6EC7"/>
    <w:rsid w:val="008D1BE1"/>
    <w:rsid w:val="008D705F"/>
    <w:rsid w:val="008E030F"/>
    <w:rsid w:val="008E1ACA"/>
    <w:rsid w:val="008E2E48"/>
    <w:rsid w:val="008E608E"/>
    <w:rsid w:val="008E648B"/>
    <w:rsid w:val="008F380B"/>
    <w:rsid w:val="00900B26"/>
    <w:rsid w:val="009027CF"/>
    <w:rsid w:val="00903286"/>
    <w:rsid w:val="00906B11"/>
    <w:rsid w:val="00906F06"/>
    <w:rsid w:val="00907B62"/>
    <w:rsid w:val="009144A1"/>
    <w:rsid w:val="009161C2"/>
    <w:rsid w:val="00923DDD"/>
    <w:rsid w:val="009254B9"/>
    <w:rsid w:val="00927C70"/>
    <w:rsid w:val="00927E59"/>
    <w:rsid w:val="00931EDE"/>
    <w:rsid w:val="0093258E"/>
    <w:rsid w:val="00933C1A"/>
    <w:rsid w:val="00934F1C"/>
    <w:rsid w:val="00935E8A"/>
    <w:rsid w:val="00936D0A"/>
    <w:rsid w:val="00941333"/>
    <w:rsid w:val="00941631"/>
    <w:rsid w:val="00941E54"/>
    <w:rsid w:val="00943443"/>
    <w:rsid w:val="0094354C"/>
    <w:rsid w:val="00944832"/>
    <w:rsid w:val="00950132"/>
    <w:rsid w:val="0095343D"/>
    <w:rsid w:val="00953E64"/>
    <w:rsid w:val="009540A4"/>
    <w:rsid w:val="009545C3"/>
    <w:rsid w:val="009569C6"/>
    <w:rsid w:val="00961E61"/>
    <w:rsid w:val="00962702"/>
    <w:rsid w:val="00962CC2"/>
    <w:rsid w:val="009639AD"/>
    <w:rsid w:val="00970CC7"/>
    <w:rsid w:val="0097630E"/>
    <w:rsid w:val="00981902"/>
    <w:rsid w:val="00981B34"/>
    <w:rsid w:val="00983EEE"/>
    <w:rsid w:val="00987522"/>
    <w:rsid w:val="00987742"/>
    <w:rsid w:val="00987B70"/>
    <w:rsid w:val="00990D90"/>
    <w:rsid w:val="00992B03"/>
    <w:rsid w:val="0099344A"/>
    <w:rsid w:val="00993973"/>
    <w:rsid w:val="00994954"/>
    <w:rsid w:val="009A727F"/>
    <w:rsid w:val="009A7F77"/>
    <w:rsid w:val="009B1AFF"/>
    <w:rsid w:val="009B2741"/>
    <w:rsid w:val="009B28E3"/>
    <w:rsid w:val="009B4BD8"/>
    <w:rsid w:val="009B5286"/>
    <w:rsid w:val="009C00DC"/>
    <w:rsid w:val="009C2031"/>
    <w:rsid w:val="009C28BB"/>
    <w:rsid w:val="009C2C98"/>
    <w:rsid w:val="009C5A17"/>
    <w:rsid w:val="009C5AFC"/>
    <w:rsid w:val="009D232F"/>
    <w:rsid w:val="009D660C"/>
    <w:rsid w:val="009D684A"/>
    <w:rsid w:val="009E5527"/>
    <w:rsid w:val="009F388E"/>
    <w:rsid w:val="00A009DE"/>
    <w:rsid w:val="00A02108"/>
    <w:rsid w:val="00A0303A"/>
    <w:rsid w:val="00A05895"/>
    <w:rsid w:val="00A0678D"/>
    <w:rsid w:val="00A10ED8"/>
    <w:rsid w:val="00A12A6E"/>
    <w:rsid w:val="00A14981"/>
    <w:rsid w:val="00A16A40"/>
    <w:rsid w:val="00A206F4"/>
    <w:rsid w:val="00A20EF2"/>
    <w:rsid w:val="00A22E1D"/>
    <w:rsid w:val="00A2368E"/>
    <w:rsid w:val="00A23892"/>
    <w:rsid w:val="00A26480"/>
    <w:rsid w:val="00A313C5"/>
    <w:rsid w:val="00A31BEC"/>
    <w:rsid w:val="00A37DB4"/>
    <w:rsid w:val="00A430BC"/>
    <w:rsid w:val="00A438C0"/>
    <w:rsid w:val="00A44065"/>
    <w:rsid w:val="00A4751C"/>
    <w:rsid w:val="00A50926"/>
    <w:rsid w:val="00A536D0"/>
    <w:rsid w:val="00A53704"/>
    <w:rsid w:val="00A54FE5"/>
    <w:rsid w:val="00A6058C"/>
    <w:rsid w:val="00A62471"/>
    <w:rsid w:val="00A70755"/>
    <w:rsid w:val="00A72F2B"/>
    <w:rsid w:val="00A730F3"/>
    <w:rsid w:val="00A736CC"/>
    <w:rsid w:val="00A73C69"/>
    <w:rsid w:val="00A74C2B"/>
    <w:rsid w:val="00A75C90"/>
    <w:rsid w:val="00A82778"/>
    <w:rsid w:val="00A833D0"/>
    <w:rsid w:val="00A8638F"/>
    <w:rsid w:val="00A879E0"/>
    <w:rsid w:val="00A87C8C"/>
    <w:rsid w:val="00A9014A"/>
    <w:rsid w:val="00A90260"/>
    <w:rsid w:val="00A91451"/>
    <w:rsid w:val="00A92DB8"/>
    <w:rsid w:val="00A93556"/>
    <w:rsid w:val="00A9471F"/>
    <w:rsid w:val="00A95214"/>
    <w:rsid w:val="00AA1297"/>
    <w:rsid w:val="00AA15E9"/>
    <w:rsid w:val="00AB539F"/>
    <w:rsid w:val="00AC45D0"/>
    <w:rsid w:val="00AC5124"/>
    <w:rsid w:val="00AC6D69"/>
    <w:rsid w:val="00AE19C2"/>
    <w:rsid w:val="00AE77B0"/>
    <w:rsid w:val="00AF0581"/>
    <w:rsid w:val="00B012CF"/>
    <w:rsid w:val="00B02E5F"/>
    <w:rsid w:val="00B045A8"/>
    <w:rsid w:val="00B1117A"/>
    <w:rsid w:val="00B148B3"/>
    <w:rsid w:val="00B15AD7"/>
    <w:rsid w:val="00B2162D"/>
    <w:rsid w:val="00B2292A"/>
    <w:rsid w:val="00B24570"/>
    <w:rsid w:val="00B32E08"/>
    <w:rsid w:val="00B35D6F"/>
    <w:rsid w:val="00B36862"/>
    <w:rsid w:val="00B36B29"/>
    <w:rsid w:val="00B409E3"/>
    <w:rsid w:val="00B42037"/>
    <w:rsid w:val="00B43649"/>
    <w:rsid w:val="00B50965"/>
    <w:rsid w:val="00B511BA"/>
    <w:rsid w:val="00B55D73"/>
    <w:rsid w:val="00B66430"/>
    <w:rsid w:val="00B67317"/>
    <w:rsid w:val="00B67AA4"/>
    <w:rsid w:val="00B72B39"/>
    <w:rsid w:val="00B74948"/>
    <w:rsid w:val="00B75586"/>
    <w:rsid w:val="00B80246"/>
    <w:rsid w:val="00B82468"/>
    <w:rsid w:val="00B82AA8"/>
    <w:rsid w:val="00B82E3A"/>
    <w:rsid w:val="00B84694"/>
    <w:rsid w:val="00B84F79"/>
    <w:rsid w:val="00B87045"/>
    <w:rsid w:val="00B93C3A"/>
    <w:rsid w:val="00B94435"/>
    <w:rsid w:val="00B955FD"/>
    <w:rsid w:val="00B96B78"/>
    <w:rsid w:val="00BA05EE"/>
    <w:rsid w:val="00BA0CA8"/>
    <w:rsid w:val="00BA3064"/>
    <w:rsid w:val="00BA4DC7"/>
    <w:rsid w:val="00BA760E"/>
    <w:rsid w:val="00BB006B"/>
    <w:rsid w:val="00BB0865"/>
    <w:rsid w:val="00BB2BC1"/>
    <w:rsid w:val="00BB3C4D"/>
    <w:rsid w:val="00BB60AD"/>
    <w:rsid w:val="00BB7E11"/>
    <w:rsid w:val="00BC4261"/>
    <w:rsid w:val="00BC5EFB"/>
    <w:rsid w:val="00BD0817"/>
    <w:rsid w:val="00BD2986"/>
    <w:rsid w:val="00BD2CD6"/>
    <w:rsid w:val="00BD5867"/>
    <w:rsid w:val="00BD7130"/>
    <w:rsid w:val="00BF5235"/>
    <w:rsid w:val="00BF58FC"/>
    <w:rsid w:val="00BF755D"/>
    <w:rsid w:val="00BF7BF9"/>
    <w:rsid w:val="00C01A5E"/>
    <w:rsid w:val="00C04826"/>
    <w:rsid w:val="00C15E9E"/>
    <w:rsid w:val="00C20215"/>
    <w:rsid w:val="00C21294"/>
    <w:rsid w:val="00C27D23"/>
    <w:rsid w:val="00C304B3"/>
    <w:rsid w:val="00C31033"/>
    <w:rsid w:val="00C312CC"/>
    <w:rsid w:val="00C3168E"/>
    <w:rsid w:val="00C319EC"/>
    <w:rsid w:val="00C321D1"/>
    <w:rsid w:val="00C34014"/>
    <w:rsid w:val="00C35941"/>
    <w:rsid w:val="00C36651"/>
    <w:rsid w:val="00C401BC"/>
    <w:rsid w:val="00C444EA"/>
    <w:rsid w:val="00C45490"/>
    <w:rsid w:val="00C4679F"/>
    <w:rsid w:val="00C4783F"/>
    <w:rsid w:val="00C5166C"/>
    <w:rsid w:val="00C51A73"/>
    <w:rsid w:val="00C55748"/>
    <w:rsid w:val="00C572BD"/>
    <w:rsid w:val="00C611DF"/>
    <w:rsid w:val="00C61D8E"/>
    <w:rsid w:val="00C704D7"/>
    <w:rsid w:val="00C70B42"/>
    <w:rsid w:val="00C7455C"/>
    <w:rsid w:val="00C74841"/>
    <w:rsid w:val="00C76002"/>
    <w:rsid w:val="00C81F83"/>
    <w:rsid w:val="00C866A8"/>
    <w:rsid w:val="00C91EA8"/>
    <w:rsid w:val="00C93413"/>
    <w:rsid w:val="00C96205"/>
    <w:rsid w:val="00CA4049"/>
    <w:rsid w:val="00CA6DAE"/>
    <w:rsid w:val="00CB2FAC"/>
    <w:rsid w:val="00CB7B2A"/>
    <w:rsid w:val="00CB7CBA"/>
    <w:rsid w:val="00CD0FC7"/>
    <w:rsid w:val="00CD2035"/>
    <w:rsid w:val="00CD2AC5"/>
    <w:rsid w:val="00CE261D"/>
    <w:rsid w:val="00CE3F2C"/>
    <w:rsid w:val="00CE5463"/>
    <w:rsid w:val="00CF37F7"/>
    <w:rsid w:val="00CF3809"/>
    <w:rsid w:val="00D01A16"/>
    <w:rsid w:val="00D0266E"/>
    <w:rsid w:val="00D038A0"/>
    <w:rsid w:val="00D1588F"/>
    <w:rsid w:val="00D224AA"/>
    <w:rsid w:val="00D24621"/>
    <w:rsid w:val="00D25EC9"/>
    <w:rsid w:val="00D25F52"/>
    <w:rsid w:val="00D261CD"/>
    <w:rsid w:val="00D26B0F"/>
    <w:rsid w:val="00D2726F"/>
    <w:rsid w:val="00D44BD3"/>
    <w:rsid w:val="00D45015"/>
    <w:rsid w:val="00D45FA7"/>
    <w:rsid w:val="00D61B3A"/>
    <w:rsid w:val="00D64CF7"/>
    <w:rsid w:val="00D65450"/>
    <w:rsid w:val="00D66E4E"/>
    <w:rsid w:val="00D67540"/>
    <w:rsid w:val="00D701F0"/>
    <w:rsid w:val="00D71450"/>
    <w:rsid w:val="00D71F35"/>
    <w:rsid w:val="00D72517"/>
    <w:rsid w:val="00D73EB1"/>
    <w:rsid w:val="00D74588"/>
    <w:rsid w:val="00D7470F"/>
    <w:rsid w:val="00D80B9F"/>
    <w:rsid w:val="00D829B9"/>
    <w:rsid w:val="00D83398"/>
    <w:rsid w:val="00D8365C"/>
    <w:rsid w:val="00D83E38"/>
    <w:rsid w:val="00D84E07"/>
    <w:rsid w:val="00D86C6F"/>
    <w:rsid w:val="00D95445"/>
    <w:rsid w:val="00DA1B07"/>
    <w:rsid w:val="00DA1F76"/>
    <w:rsid w:val="00DA628F"/>
    <w:rsid w:val="00DA6D3B"/>
    <w:rsid w:val="00DA6EF8"/>
    <w:rsid w:val="00DB20DE"/>
    <w:rsid w:val="00DB25F8"/>
    <w:rsid w:val="00DB2BA4"/>
    <w:rsid w:val="00DB4FA7"/>
    <w:rsid w:val="00DC1307"/>
    <w:rsid w:val="00DC63E1"/>
    <w:rsid w:val="00DC6800"/>
    <w:rsid w:val="00DD2CC7"/>
    <w:rsid w:val="00DD3CDE"/>
    <w:rsid w:val="00DD49A4"/>
    <w:rsid w:val="00DD52E7"/>
    <w:rsid w:val="00DE0AC1"/>
    <w:rsid w:val="00DE1BC9"/>
    <w:rsid w:val="00DE3FB0"/>
    <w:rsid w:val="00DE6025"/>
    <w:rsid w:val="00DE7F6D"/>
    <w:rsid w:val="00DF02BD"/>
    <w:rsid w:val="00DF3B18"/>
    <w:rsid w:val="00DF494A"/>
    <w:rsid w:val="00E0043A"/>
    <w:rsid w:val="00E120C9"/>
    <w:rsid w:val="00E134FB"/>
    <w:rsid w:val="00E13528"/>
    <w:rsid w:val="00E17AC9"/>
    <w:rsid w:val="00E20F47"/>
    <w:rsid w:val="00E253D8"/>
    <w:rsid w:val="00E25551"/>
    <w:rsid w:val="00E328A5"/>
    <w:rsid w:val="00E42CB6"/>
    <w:rsid w:val="00E43DA2"/>
    <w:rsid w:val="00E51D22"/>
    <w:rsid w:val="00E53640"/>
    <w:rsid w:val="00E54A70"/>
    <w:rsid w:val="00E5641B"/>
    <w:rsid w:val="00E5666F"/>
    <w:rsid w:val="00E66A01"/>
    <w:rsid w:val="00E674E4"/>
    <w:rsid w:val="00E70608"/>
    <w:rsid w:val="00E730C2"/>
    <w:rsid w:val="00E74879"/>
    <w:rsid w:val="00E76E83"/>
    <w:rsid w:val="00E90748"/>
    <w:rsid w:val="00E912C4"/>
    <w:rsid w:val="00E91333"/>
    <w:rsid w:val="00E9509E"/>
    <w:rsid w:val="00EA2F6C"/>
    <w:rsid w:val="00EA3152"/>
    <w:rsid w:val="00EB7BEC"/>
    <w:rsid w:val="00EC20B8"/>
    <w:rsid w:val="00EC41FC"/>
    <w:rsid w:val="00EC49B3"/>
    <w:rsid w:val="00EC4FFE"/>
    <w:rsid w:val="00EC6A69"/>
    <w:rsid w:val="00ED1583"/>
    <w:rsid w:val="00ED24FC"/>
    <w:rsid w:val="00ED293E"/>
    <w:rsid w:val="00ED357A"/>
    <w:rsid w:val="00EE0F00"/>
    <w:rsid w:val="00EE2BCC"/>
    <w:rsid w:val="00EE6427"/>
    <w:rsid w:val="00EE7860"/>
    <w:rsid w:val="00EF44B9"/>
    <w:rsid w:val="00EF44FB"/>
    <w:rsid w:val="00EF5BDF"/>
    <w:rsid w:val="00EF7DEB"/>
    <w:rsid w:val="00F07E4B"/>
    <w:rsid w:val="00F13916"/>
    <w:rsid w:val="00F13A0D"/>
    <w:rsid w:val="00F14BBD"/>
    <w:rsid w:val="00F14BED"/>
    <w:rsid w:val="00F14F44"/>
    <w:rsid w:val="00F16AD7"/>
    <w:rsid w:val="00F17B59"/>
    <w:rsid w:val="00F20100"/>
    <w:rsid w:val="00F21532"/>
    <w:rsid w:val="00F2201B"/>
    <w:rsid w:val="00F254F5"/>
    <w:rsid w:val="00F25E9F"/>
    <w:rsid w:val="00F2645B"/>
    <w:rsid w:val="00F269CF"/>
    <w:rsid w:val="00F27BA2"/>
    <w:rsid w:val="00F31727"/>
    <w:rsid w:val="00F36BC1"/>
    <w:rsid w:val="00F37B72"/>
    <w:rsid w:val="00F428E5"/>
    <w:rsid w:val="00F4337A"/>
    <w:rsid w:val="00F43E32"/>
    <w:rsid w:val="00F528C6"/>
    <w:rsid w:val="00F554F8"/>
    <w:rsid w:val="00F60135"/>
    <w:rsid w:val="00F64F1E"/>
    <w:rsid w:val="00F659C7"/>
    <w:rsid w:val="00F6686F"/>
    <w:rsid w:val="00F700E7"/>
    <w:rsid w:val="00F734FC"/>
    <w:rsid w:val="00F77793"/>
    <w:rsid w:val="00F84C3B"/>
    <w:rsid w:val="00F85A80"/>
    <w:rsid w:val="00F85F3A"/>
    <w:rsid w:val="00F86A0D"/>
    <w:rsid w:val="00F909AA"/>
    <w:rsid w:val="00F93F80"/>
    <w:rsid w:val="00FA0364"/>
    <w:rsid w:val="00FA0EAF"/>
    <w:rsid w:val="00FA49E0"/>
    <w:rsid w:val="00FA5B69"/>
    <w:rsid w:val="00FA5F53"/>
    <w:rsid w:val="00FA671B"/>
    <w:rsid w:val="00FB03AE"/>
    <w:rsid w:val="00FB306B"/>
    <w:rsid w:val="00FB44E4"/>
    <w:rsid w:val="00FC0724"/>
    <w:rsid w:val="00FC24C6"/>
    <w:rsid w:val="00FC3340"/>
    <w:rsid w:val="00FC402A"/>
    <w:rsid w:val="00FC7BF4"/>
    <w:rsid w:val="00FC7DD5"/>
    <w:rsid w:val="00FD3432"/>
    <w:rsid w:val="00FE1FB1"/>
    <w:rsid w:val="00FE5750"/>
    <w:rsid w:val="00FE6BA8"/>
    <w:rsid w:val="00FF152C"/>
    <w:rsid w:val="00FF34A7"/>
    <w:rsid w:val="00FF373D"/>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55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Helvetica"/>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B"/>
  </w:style>
  <w:style w:type="paragraph" w:styleId="Heading1">
    <w:name w:val="heading 1"/>
    <w:basedOn w:val="Normal"/>
    <w:next w:val="Bodytext"/>
    <w:link w:val="Heading1Char"/>
    <w:qFormat/>
    <w:rsid w:val="00953E64"/>
    <w:pPr>
      <w:pageBreakBefore/>
      <w:numPr>
        <w:numId w:val="5"/>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semiHidden/>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701226"/>
    <w:pPr>
      <w:ind w:left="720"/>
      <w:contextualSpacing/>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32254A"/>
    <w:pPr>
      <w:tabs>
        <w:tab w:val="left" w:pos="480"/>
        <w:tab w:val="right" w:leader="dot" w:pos="8647"/>
      </w:tabs>
      <w:spacing w:before="240"/>
    </w:pPr>
    <w:rPr>
      <w:rFonts w:ascii="Times New Roman" w:eastAsia="Times New Roman" w:hAnsi="Times New Roman" w:cs="Times New Roman"/>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8E030F"/>
    <w:rPr>
      <w:sz w:val="24"/>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8E030F"/>
    <w:rPr>
      <w:sz w:val="24"/>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59"/>
    <w:rsid w:val="0043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qFormat/>
    <w:rsid w:val="00CE3F2C"/>
    <w:pPr>
      <w:numPr>
        <w:numId w:val="16"/>
      </w:numPr>
      <w:spacing w:after="240" w:line="264" w:lineRule="auto"/>
    </w:pPr>
    <w:rPr>
      <w:rFonts w:ascii="Times New Roman" w:eastAsia="SimSun" w:hAnsi="Times New Roman" w:cs="Times New Roman"/>
      <w:sz w:val="24"/>
      <w:szCs w:val="24"/>
      <w:lang w:eastAsia="en-US"/>
    </w:rPr>
  </w:style>
  <w:style w:type="character" w:customStyle="1" w:styleId="ParagraphNumberingChar">
    <w:name w:val="Paragraph Numbering Char"/>
    <w:basedOn w:val="DefaultParagraphFont"/>
    <w:link w:val="ParagraphNumbering"/>
    <w:locked/>
    <w:rsid w:val="00CE3F2C"/>
    <w:rPr>
      <w:rFonts w:ascii="Times New Roman" w:eastAsia="SimSun" w:hAnsi="Times New Roman" w:cs="Times New Roman"/>
      <w:sz w:val="24"/>
      <w:szCs w:val="24"/>
      <w:lang w:eastAsia="en-US"/>
    </w:rPr>
  </w:style>
  <w:style w:type="paragraph" w:customStyle="1" w:styleId="Bulletstab">
    <w:name w:val="Bullets tab"/>
    <w:basedOn w:val="Normal"/>
    <w:uiPriority w:val="99"/>
    <w:rsid w:val="00C70B42"/>
    <w:pPr>
      <w:widowControl w:val="0"/>
      <w:numPr>
        <w:ilvl w:val="1"/>
        <w:numId w:val="17"/>
      </w:numPr>
      <w:spacing w:after="120"/>
      <w:jc w:val="both"/>
    </w:pPr>
    <w:rPr>
      <w:rFonts w:eastAsia="Times New Roman" w:cs="Arial"/>
      <w:bCs/>
      <w:lang w:eastAsia="en-US"/>
    </w:rPr>
  </w:style>
  <w:style w:type="paragraph" w:styleId="ListBullet">
    <w:name w:val="List Bullet"/>
    <w:basedOn w:val="Normal"/>
    <w:uiPriority w:val="99"/>
    <w:qFormat/>
    <w:rsid w:val="00BF58FC"/>
    <w:pPr>
      <w:numPr>
        <w:numId w:val="18"/>
      </w:numPr>
      <w:spacing w:after="240" w:line="264" w:lineRule="auto"/>
    </w:pPr>
    <w:rPr>
      <w:rFonts w:ascii="Times New Roman" w:eastAsia="Times New Roman" w:hAnsi="Times New Roman" w:cs="Times New Roman"/>
      <w:sz w:val="24"/>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D038A0"/>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466D0E"/>
    <w:pPr>
      <w:numPr>
        <w:numId w:val="13"/>
      </w:numPr>
      <w:jc w:val="center"/>
    </w:pPr>
    <w:rPr>
      <w:rFonts w:cs="Arial"/>
      <w:b/>
      <w:sz w:val="24"/>
    </w:rPr>
  </w:style>
  <w:style w:type="paragraph" w:customStyle="1" w:styleId="Topic2">
    <w:name w:val="Topic_2"/>
    <w:basedOn w:val="Topic1"/>
    <w:qFormat/>
    <w:rsid w:val="00466D0E"/>
    <w:pPr>
      <w:numPr>
        <w:numId w:val="41"/>
      </w:numPr>
      <w:ind w:left="0" w:firstLine="0"/>
      <w:jc w:val="left"/>
    </w:pPr>
    <w:rPr>
      <w:sz w:val="22"/>
    </w:rPr>
  </w:style>
  <w:style w:type="paragraph" w:customStyle="1" w:styleId="Topic3">
    <w:name w:val="Topic_3"/>
    <w:basedOn w:val="Normal"/>
    <w:qFormat/>
    <w:rsid w:val="00466D0E"/>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semiHidden/>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94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D3946"/>
    <w:pPr>
      <w:spacing w:after="100"/>
      <w:ind w:left="220"/>
    </w:pPr>
  </w:style>
  <w:style w:type="paragraph" w:styleId="TOC3">
    <w:name w:val="toc 3"/>
    <w:basedOn w:val="Normal"/>
    <w:next w:val="Normal"/>
    <w:autoRedefine/>
    <w:uiPriority w:val="39"/>
    <w:unhideWhenUsed/>
    <w:rsid w:val="004D3946"/>
    <w:pPr>
      <w:spacing w:after="100"/>
      <w:ind w:left="440"/>
    </w:pPr>
  </w:style>
  <w:style w:type="paragraph" w:styleId="TableofFigures">
    <w:name w:val="table of figures"/>
    <w:basedOn w:val="Normal"/>
    <w:next w:val="Normal"/>
    <w:uiPriority w:val="99"/>
    <w:unhideWhenUsed/>
    <w:rsid w:val="00422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Helvetica"/>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B"/>
  </w:style>
  <w:style w:type="paragraph" w:styleId="Heading1">
    <w:name w:val="heading 1"/>
    <w:basedOn w:val="Normal"/>
    <w:next w:val="Bodytext"/>
    <w:link w:val="Heading1Char"/>
    <w:qFormat/>
    <w:rsid w:val="00953E64"/>
    <w:pPr>
      <w:pageBreakBefore/>
      <w:numPr>
        <w:numId w:val="5"/>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semiHidden/>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701226"/>
    <w:pPr>
      <w:ind w:left="720"/>
      <w:contextualSpacing/>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32254A"/>
    <w:pPr>
      <w:tabs>
        <w:tab w:val="left" w:pos="480"/>
        <w:tab w:val="right" w:leader="dot" w:pos="8647"/>
      </w:tabs>
      <w:spacing w:before="240"/>
    </w:pPr>
    <w:rPr>
      <w:rFonts w:ascii="Times New Roman" w:eastAsia="Times New Roman" w:hAnsi="Times New Roman" w:cs="Times New Roman"/>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8E030F"/>
    <w:rPr>
      <w:sz w:val="24"/>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8E030F"/>
    <w:rPr>
      <w:sz w:val="24"/>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59"/>
    <w:rsid w:val="0043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qFormat/>
    <w:rsid w:val="00CE3F2C"/>
    <w:pPr>
      <w:numPr>
        <w:numId w:val="16"/>
      </w:numPr>
      <w:spacing w:after="240" w:line="264" w:lineRule="auto"/>
    </w:pPr>
    <w:rPr>
      <w:rFonts w:ascii="Times New Roman" w:eastAsia="SimSun" w:hAnsi="Times New Roman" w:cs="Times New Roman"/>
      <w:sz w:val="24"/>
      <w:szCs w:val="24"/>
      <w:lang w:eastAsia="en-US"/>
    </w:rPr>
  </w:style>
  <w:style w:type="character" w:customStyle="1" w:styleId="ParagraphNumberingChar">
    <w:name w:val="Paragraph Numbering Char"/>
    <w:basedOn w:val="DefaultParagraphFont"/>
    <w:link w:val="ParagraphNumbering"/>
    <w:locked/>
    <w:rsid w:val="00CE3F2C"/>
    <w:rPr>
      <w:rFonts w:ascii="Times New Roman" w:eastAsia="SimSun" w:hAnsi="Times New Roman" w:cs="Times New Roman"/>
      <w:sz w:val="24"/>
      <w:szCs w:val="24"/>
      <w:lang w:eastAsia="en-US"/>
    </w:rPr>
  </w:style>
  <w:style w:type="paragraph" w:customStyle="1" w:styleId="Bulletstab">
    <w:name w:val="Bullets tab"/>
    <w:basedOn w:val="Normal"/>
    <w:uiPriority w:val="99"/>
    <w:rsid w:val="00C70B42"/>
    <w:pPr>
      <w:widowControl w:val="0"/>
      <w:numPr>
        <w:ilvl w:val="1"/>
        <w:numId w:val="17"/>
      </w:numPr>
      <w:spacing w:after="120"/>
      <w:jc w:val="both"/>
    </w:pPr>
    <w:rPr>
      <w:rFonts w:eastAsia="Times New Roman" w:cs="Arial"/>
      <w:bCs/>
      <w:lang w:eastAsia="en-US"/>
    </w:rPr>
  </w:style>
  <w:style w:type="paragraph" w:styleId="ListBullet">
    <w:name w:val="List Bullet"/>
    <w:basedOn w:val="Normal"/>
    <w:uiPriority w:val="99"/>
    <w:qFormat/>
    <w:rsid w:val="00BF58FC"/>
    <w:pPr>
      <w:numPr>
        <w:numId w:val="18"/>
      </w:numPr>
      <w:spacing w:after="240" w:line="264" w:lineRule="auto"/>
    </w:pPr>
    <w:rPr>
      <w:rFonts w:ascii="Times New Roman" w:eastAsia="Times New Roman" w:hAnsi="Times New Roman" w:cs="Times New Roman"/>
      <w:sz w:val="24"/>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D038A0"/>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466D0E"/>
    <w:pPr>
      <w:numPr>
        <w:numId w:val="13"/>
      </w:numPr>
      <w:jc w:val="center"/>
    </w:pPr>
    <w:rPr>
      <w:rFonts w:cs="Arial"/>
      <w:b/>
      <w:sz w:val="24"/>
    </w:rPr>
  </w:style>
  <w:style w:type="paragraph" w:customStyle="1" w:styleId="Topic2">
    <w:name w:val="Topic_2"/>
    <w:basedOn w:val="Topic1"/>
    <w:qFormat/>
    <w:rsid w:val="00466D0E"/>
    <w:pPr>
      <w:numPr>
        <w:numId w:val="41"/>
      </w:numPr>
      <w:ind w:left="0" w:firstLine="0"/>
      <w:jc w:val="left"/>
    </w:pPr>
    <w:rPr>
      <w:sz w:val="22"/>
    </w:rPr>
  </w:style>
  <w:style w:type="paragraph" w:customStyle="1" w:styleId="Topic3">
    <w:name w:val="Topic_3"/>
    <w:basedOn w:val="Normal"/>
    <w:qFormat/>
    <w:rsid w:val="00466D0E"/>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semiHidden/>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94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D3946"/>
    <w:pPr>
      <w:spacing w:after="100"/>
      <w:ind w:left="220"/>
    </w:pPr>
  </w:style>
  <w:style w:type="paragraph" w:styleId="TOC3">
    <w:name w:val="toc 3"/>
    <w:basedOn w:val="Normal"/>
    <w:next w:val="Normal"/>
    <w:autoRedefine/>
    <w:uiPriority w:val="39"/>
    <w:unhideWhenUsed/>
    <w:rsid w:val="004D3946"/>
    <w:pPr>
      <w:spacing w:after="100"/>
      <w:ind w:left="440"/>
    </w:pPr>
  </w:style>
  <w:style w:type="paragraph" w:styleId="TableofFigures">
    <w:name w:val="table of figures"/>
    <w:basedOn w:val="Normal"/>
    <w:next w:val="Normal"/>
    <w:uiPriority w:val="99"/>
    <w:unhideWhenUsed/>
    <w:rsid w:val="0042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143">
      <w:bodyDiv w:val="1"/>
      <w:marLeft w:val="0"/>
      <w:marRight w:val="0"/>
      <w:marTop w:val="0"/>
      <w:marBottom w:val="0"/>
      <w:divBdr>
        <w:top w:val="none" w:sz="0" w:space="0" w:color="auto"/>
        <w:left w:val="none" w:sz="0" w:space="0" w:color="auto"/>
        <w:bottom w:val="none" w:sz="0" w:space="0" w:color="auto"/>
        <w:right w:val="none" w:sz="0" w:space="0" w:color="auto"/>
      </w:divBdr>
    </w:div>
    <w:div w:id="137496675">
      <w:bodyDiv w:val="1"/>
      <w:marLeft w:val="0"/>
      <w:marRight w:val="0"/>
      <w:marTop w:val="0"/>
      <w:marBottom w:val="0"/>
      <w:divBdr>
        <w:top w:val="none" w:sz="0" w:space="0" w:color="auto"/>
        <w:left w:val="none" w:sz="0" w:space="0" w:color="auto"/>
        <w:bottom w:val="none" w:sz="0" w:space="0" w:color="auto"/>
        <w:right w:val="none" w:sz="0" w:space="0" w:color="auto"/>
      </w:divBdr>
    </w:div>
    <w:div w:id="170725759">
      <w:bodyDiv w:val="1"/>
      <w:marLeft w:val="0"/>
      <w:marRight w:val="0"/>
      <w:marTop w:val="0"/>
      <w:marBottom w:val="0"/>
      <w:divBdr>
        <w:top w:val="none" w:sz="0" w:space="0" w:color="auto"/>
        <w:left w:val="none" w:sz="0" w:space="0" w:color="auto"/>
        <w:bottom w:val="none" w:sz="0" w:space="0" w:color="auto"/>
        <w:right w:val="none" w:sz="0" w:space="0" w:color="auto"/>
      </w:divBdr>
      <w:divsChild>
        <w:div w:id="842013758">
          <w:marLeft w:val="0"/>
          <w:marRight w:val="0"/>
          <w:marTop w:val="0"/>
          <w:marBottom w:val="0"/>
          <w:divBdr>
            <w:top w:val="none" w:sz="0" w:space="0" w:color="auto"/>
            <w:left w:val="none" w:sz="0" w:space="0" w:color="auto"/>
            <w:bottom w:val="none" w:sz="0" w:space="0" w:color="auto"/>
            <w:right w:val="none" w:sz="0" w:space="0" w:color="auto"/>
          </w:divBdr>
          <w:divsChild>
            <w:div w:id="297033185">
              <w:marLeft w:val="0"/>
              <w:marRight w:val="0"/>
              <w:marTop w:val="0"/>
              <w:marBottom w:val="0"/>
              <w:divBdr>
                <w:top w:val="none" w:sz="0" w:space="0" w:color="auto"/>
                <w:left w:val="none" w:sz="0" w:space="0" w:color="auto"/>
                <w:bottom w:val="none" w:sz="0" w:space="0" w:color="auto"/>
                <w:right w:val="none" w:sz="0" w:space="0" w:color="auto"/>
              </w:divBdr>
              <w:divsChild>
                <w:div w:id="483662587">
                  <w:marLeft w:val="0"/>
                  <w:marRight w:val="0"/>
                  <w:marTop w:val="0"/>
                  <w:marBottom w:val="0"/>
                  <w:divBdr>
                    <w:top w:val="none" w:sz="0" w:space="0" w:color="auto"/>
                    <w:left w:val="none" w:sz="0" w:space="0" w:color="auto"/>
                    <w:bottom w:val="none" w:sz="0" w:space="0" w:color="auto"/>
                    <w:right w:val="none" w:sz="0" w:space="0" w:color="auto"/>
                  </w:divBdr>
                  <w:divsChild>
                    <w:div w:id="333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223">
      <w:bodyDiv w:val="1"/>
      <w:marLeft w:val="0"/>
      <w:marRight w:val="0"/>
      <w:marTop w:val="0"/>
      <w:marBottom w:val="0"/>
      <w:divBdr>
        <w:top w:val="none" w:sz="0" w:space="0" w:color="auto"/>
        <w:left w:val="none" w:sz="0" w:space="0" w:color="auto"/>
        <w:bottom w:val="none" w:sz="0" w:space="0" w:color="auto"/>
        <w:right w:val="none" w:sz="0" w:space="0" w:color="auto"/>
      </w:divBdr>
    </w:div>
    <w:div w:id="210272127">
      <w:bodyDiv w:val="1"/>
      <w:marLeft w:val="0"/>
      <w:marRight w:val="0"/>
      <w:marTop w:val="0"/>
      <w:marBottom w:val="0"/>
      <w:divBdr>
        <w:top w:val="none" w:sz="0" w:space="0" w:color="auto"/>
        <w:left w:val="none" w:sz="0" w:space="0" w:color="auto"/>
        <w:bottom w:val="none" w:sz="0" w:space="0" w:color="auto"/>
        <w:right w:val="none" w:sz="0" w:space="0" w:color="auto"/>
      </w:divBdr>
    </w:div>
    <w:div w:id="343829629">
      <w:bodyDiv w:val="1"/>
      <w:marLeft w:val="0"/>
      <w:marRight w:val="0"/>
      <w:marTop w:val="0"/>
      <w:marBottom w:val="0"/>
      <w:divBdr>
        <w:top w:val="none" w:sz="0" w:space="0" w:color="auto"/>
        <w:left w:val="none" w:sz="0" w:space="0" w:color="auto"/>
        <w:bottom w:val="none" w:sz="0" w:space="0" w:color="auto"/>
        <w:right w:val="none" w:sz="0" w:space="0" w:color="auto"/>
      </w:divBdr>
    </w:div>
    <w:div w:id="406726937">
      <w:bodyDiv w:val="1"/>
      <w:marLeft w:val="0"/>
      <w:marRight w:val="0"/>
      <w:marTop w:val="0"/>
      <w:marBottom w:val="0"/>
      <w:divBdr>
        <w:top w:val="none" w:sz="0" w:space="0" w:color="auto"/>
        <w:left w:val="none" w:sz="0" w:space="0" w:color="auto"/>
        <w:bottom w:val="none" w:sz="0" w:space="0" w:color="auto"/>
        <w:right w:val="none" w:sz="0" w:space="0" w:color="auto"/>
      </w:divBdr>
    </w:div>
    <w:div w:id="993874281">
      <w:bodyDiv w:val="1"/>
      <w:marLeft w:val="0"/>
      <w:marRight w:val="0"/>
      <w:marTop w:val="0"/>
      <w:marBottom w:val="0"/>
      <w:divBdr>
        <w:top w:val="none" w:sz="0" w:space="0" w:color="auto"/>
        <w:left w:val="none" w:sz="0" w:space="0" w:color="auto"/>
        <w:bottom w:val="none" w:sz="0" w:space="0" w:color="auto"/>
        <w:right w:val="none" w:sz="0" w:space="0" w:color="auto"/>
      </w:divBdr>
      <w:divsChild>
        <w:div w:id="951088834">
          <w:marLeft w:val="547"/>
          <w:marRight w:val="0"/>
          <w:marTop w:val="86"/>
          <w:marBottom w:val="0"/>
          <w:divBdr>
            <w:top w:val="none" w:sz="0" w:space="0" w:color="auto"/>
            <w:left w:val="none" w:sz="0" w:space="0" w:color="auto"/>
            <w:bottom w:val="none" w:sz="0" w:space="0" w:color="auto"/>
            <w:right w:val="none" w:sz="0" w:space="0" w:color="auto"/>
          </w:divBdr>
        </w:div>
        <w:div w:id="1236210794">
          <w:marLeft w:val="547"/>
          <w:marRight w:val="0"/>
          <w:marTop w:val="86"/>
          <w:marBottom w:val="0"/>
          <w:divBdr>
            <w:top w:val="none" w:sz="0" w:space="0" w:color="auto"/>
            <w:left w:val="none" w:sz="0" w:space="0" w:color="auto"/>
            <w:bottom w:val="none" w:sz="0" w:space="0" w:color="auto"/>
            <w:right w:val="none" w:sz="0" w:space="0" w:color="auto"/>
          </w:divBdr>
        </w:div>
      </w:divsChild>
    </w:div>
    <w:div w:id="1101561013">
      <w:bodyDiv w:val="1"/>
      <w:marLeft w:val="0"/>
      <w:marRight w:val="0"/>
      <w:marTop w:val="0"/>
      <w:marBottom w:val="0"/>
      <w:divBdr>
        <w:top w:val="none" w:sz="0" w:space="0" w:color="auto"/>
        <w:left w:val="none" w:sz="0" w:space="0" w:color="auto"/>
        <w:bottom w:val="none" w:sz="0" w:space="0" w:color="auto"/>
        <w:right w:val="none" w:sz="0" w:space="0" w:color="auto"/>
      </w:divBdr>
    </w:div>
    <w:div w:id="1152407629">
      <w:bodyDiv w:val="1"/>
      <w:marLeft w:val="0"/>
      <w:marRight w:val="0"/>
      <w:marTop w:val="0"/>
      <w:marBottom w:val="0"/>
      <w:divBdr>
        <w:top w:val="none" w:sz="0" w:space="0" w:color="auto"/>
        <w:left w:val="none" w:sz="0" w:space="0" w:color="auto"/>
        <w:bottom w:val="none" w:sz="0" w:space="0" w:color="auto"/>
        <w:right w:val="none" w:sz="0" w:space="0" w:color="auto"/>
      </w:divBdr>
    </w:div>
    <w:div w:id="1236092152">
      <w:bodyDiv w:val="1"/>
      <w:marLeft w:val="0"/>
      <w:marRight w:val="0"/>
      <w:marTop w:val="0"/>
      <w:marBottom w:val="0"/>
      <w:divBdr>
        <w:top w:val="none" w:sz="0" w:space="0" w:color="auto"/>
        <w:left w:val="none" w:sz="0" w:space="0" w:color="auto"/>
        <w:bottom w:val="none" w:sz="0" w:space="0" w:color="auto"/>
        <w:right w:val="none" w:sz="0" w:space="0" w:color="auto"/>
      </w:divBdr>
    </w:div>
    <w:div w:id="1335647853">
      <w:bodyDiv w:val="1"/>
      <w:marLeft w:val="0"/>
      <w:marRight w:val="0"/>
      <w:marTop w:val="0"/>
      <w:marBottom w:val="0"/>
      <w:divBdr>
        <w:top w:val="none" w:sz="0" w:space="0" w:color="auto"/>
        <w:left w:val="none" w:sz="0" w:space="0" w:color="auto"/>
        <w:bottom w:val="none" w:sz="0" w:space="0" w:color="auto"/>
        <w:right w:val="none" w:sz="0" w:space="0" w:color="auto"/>
      </w:divBdr>
    </w:div>
    <w:div w:id="1385909093">
      <w:bodyDiv w:val="1"/>
      <w:marLeft w:val="0"/>
      <w:marRight w:val="0"/>
      <w:marTop w:val="0"/>
      <w:marBottom w:val="0"/>
      <w:divBdr>
        <w:top w:val="none" w:sz="0" w:space="0" w:color="auto"/>
        <w:left w:val="none" w:sz="0" w:space="0" w:color="auto"/>
        <w:bottom w:val="none" w:sz="0" w:space="0" w:color="auto"/>
        <w:right w:val="none" w:sz="0" w:space="0" w:color="auto"/>
      </w:divBdr>
    </w:div>
    <w:div w:id="1406880772">
      <w:bodyDiv w:val="1"/>
      <w:marLeft w:val="0"/>
      <w:marRight w:val="0"/>
      <w:marTop w:val="0"/>
      <w:marBottom w:val="0"/>
      <w:divBdr>
        <w:top w:val="none" w:sz="0" w:space="0" w:color="auto"/>
        <w:left w:val="none" w:sz="0" w:space="0" w:color="auto"/>
        <w:bottom w:val="none" w:sz="0" w:space="0" w:color="auto"/>
        <w:right w:val="none" w:sz="0" w:space="0" w:color="auto"/>
      </w:divBdr>
    </w:div>
    <w:div w:id="1566332285">
      <w:bodyDiv w:val="1"/>
      <w:marLeft w:val="0"/>
      <w:marRight w:val="0"/>
      <w:marTop w:val="0"/>
      <w:marBottom w:val="0"/>
      <w:divBdr>
        <w:top w:val="none" w:sz="0" w:space="0" w:color="auto"/>
        <w:left w:val="none" w:sz="0" w:space="0" w:color="auto"/>
        <w:bottom w:val="none" w:sz="0" w:space="0" w:color="auto"/>
        <w:right w:val="none" w:sz="0" w:space="0" w:color="auto"/>
      </w:divBdr>
    </w:div>
    <w:div w:id="1714888678">
      <w:bodyDiv w:val="1"/>
      <w:marLeft w:val="0"/>
      <w:marRight w:val="0"/>
      <w:marTop w:val="0"/>
      <w:marBottom w:val="0"/>
      <w:divBdr>
        <w:top w:val="none" w:sz="0" w:space="0" w:color="auto"/>
        <w:left w:val="none" w:sz="0" w:space="0" w:color="auto"/>
        <w:bottom w:val="none" w:sz="0" w:space="0" w:color="auto"/>
        <w:right w:val="none" w:sz="0" w:space="0" w:color="auto"/>
      </w:divBdr>
    </w:div>
    <w:div w:id="1796941693">
      <w:bodyDiv w:val="1"/>
      <w:marLeft w:val="0"/>
      <w:marRight w:val="0"/>
      <w:marTop w:val="0"/>
      <w:marBottom w:val="0"/>
      <w:divBdr>
        <w:top w:val="none" w:sz="0" w:space="0" w:color="auto"/>
        <w:left w:val="none" w:sz="0" w:space="0" w:color="auto"/>
        <w:bottom w:val="none" w:sz="0" w:space="0" w:color="auto"/>
        <w:right w:val="none" w:sz="0" w:space="0" w:color="auto"/>
      </w:divBdr>
    </w:div>
    <w:div w:id="1849909849">
      <w:bodyDiv w:val="1"/>
      <w:marLeft w:val="0"/>
      <w:marRight w:val="0"/>
      <w:marTop w:val="0"/>
      <w:marBottom w:val="0"/>
      <w:divBdr>
        <w:top w:val="none" w:sz="0" w:space="0" w:color="auto"/>
        <w:left w:val="none" w:sz="0" w:space="0" w:color="auto"/>
        <w:bottom w:val="none" w:sz="0" w:space="0" w:color="auto"/>
        <w:right w:val="none" w:sz="0" w:space="0" w:color="auto"/>
      </w:divBdr>
    </w:div>
    <w:div w:id="190009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tur%20Hambardzumyan\Desktop\Artur\Artur\TPARAN%20H.%20M\2017%20annual\marman%20grafik%20yst%20gociqneri%2031.12.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6774002800726945E-2"/>
          <c:y val="4.9493332359861267E-2"/>
          <c:w val="0.93770010991839348"/>
          <c:h val="0.70326513468961127"/>
        </c:manualLayout>
      </c:layout>
      <c:bar3DChart>
        <c:barDir val="col"/>
        <c:grouping val="stacked"/>
        <c:varyColors val="0"/>
        <c:ser>
          <c:idx val="0"/>
          <c:order val="0"/>
          <c:tx>
            <c:strRef>
              <c:f>Charts_ENG!$K$18</c:f>
              <c:strCache>
                <c:ptCount val="1"/>
                <c:pt idx="0">
                  <c:v>External loans</c:v>
                </c:pt>
              </c:strCache>
            </c:strRef>
          </c:tx>
          <c:invertIfNegative val="0"/>
          <c:cat>
            <c:numRef>
              <c:f>Charts_ENG!$L$17:$AV$17</c:f>
              <c:numCache>
                <c:formatCode>General</c:formatCode>
                <c:ptCount val="3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numCache>
            </c:numRef>
          </c:cat>
          <c:val>
            <c:numRef>
              <c:f>Charts_ENG!$L$18:$AV$18</c:f>
              <c:numCache>
                <c:formatCode>_(* #,##0.0_);_(* \(#,##0.0\);_(* "-"??_);_(@_)</c:formatCode>
                <c:ptCount val="37"/>
                <c:pt idx="0">
                  <c:v>67.757688974388415</c:v>
                </c:pt>
                <c:pt idx="1">
                  <c:v>79.348791440517019</c:v>
                </c:pt>
                <c:pt idx="2">
                  <c:v>92.37905004948729</c:v>
                </c:pt>
                <c:pt idx="3">
                  <c:v>99.590914995594972</c:v>
                </c:pt>
                <c:pt idx="4">
                  <c:v>98.634314661088865</c:v>
                </c:pt>
                <c:pt idx="5">
                  <c:v>101.11968832265009</c:v>
                </c:pt>
                <c:pt idx="6">
                  <c:v>102.88170999269084</c:v>
                </c:pt>
                <c:pt idx="7">
                  <c:v>109.20781162521011</c:v>
                </c:pt>
                <c:pt idx="8">
                  <c:v>154.07806787217191</c:v>
                </c:pt>
                <c:pt idx="9">
                  <c:v>111.1754740405777</c:v>
                </c:pt>
                <c:pt idx="10">
                  <c:v>100.7440452521459</c:v>
                </c:pt>
                <c:pt idx="11">
                  <c:v>96.617593542168208</c:v>
                </c:pt>
                <c:pt idx="12">
                  <c:v>94.562531883148793</c:v>
                </c:pt>
                <c:pt idx="13">
                  <c:v>89.807068406216558</c:v>
                </c:pt>
                <c:pt idx="14">
                  <c:v>89.58711611295918</c:v>
                </c:pt>
                <c:pt idx="15">
                  <c:v>82.240480954764507</c:v>
                </c:pt>
                <c:pt idx="16">
                  <c:v>77.894368304795634</c:v>
                </c:pt>
                <c:pt idx="17">
                  <c:v>63.755176593332529</c:v>
                </c:pt>
                <c:pt idx="18">
                  <c:v>48.576983827793491</c:v>
                </c:pt>
                <c:pt idx="19">
                  <c:v>44.32244374242314</c:v>
                </c:pt>
                <c:pt idx="20">
                  <c:v>36.7995822453356</c:v>
                </c:pt>
                <c:pt idx="21">
                  <c:v>30.930729687453773</c:v>
                </c:pt>
                <c:pt idx="22">
                  <c:v>22.446338076644544</c:v>
                </c:pt>
                <c:pt idx="23">
                  <c:v>16.39284432762464</c:v>
                </c:pt>
                <c:pt idx="24">
                  <c:v>11.435566364188274</c:v>
                </c:pt>
                <c:pt idx="25">
                  <c:v>10.153288154219188</c:v>
                </c:pt>
                <c:pt idx="26">
                  <c:v>8.3882994784563198</c:v>
                </c:pt>
                <c:pt idx="27">
                  <c:v>3.9360177846379667</c:v>
                </c:pt>
                <c:pt idx="28">
                  <c:v>0.57478345923219654</c:v>
                </c:pt>
                <c:pt idx="29">
                  <c:v>0.49321369024751521</c:v>
                </c:pt>
                <c:pt idx="30">
                  <c:v>0.31505069926517648</c:v>
                </c:pt>
                <c:pt idx="31">
                  <c:v>0.25269732842247156</c:v>
                </c:pt>
                <c:pt idx="32">
                  <c:v>0.10433395733571667</c:v>
                </c:pt>
                <c:pt idx="33">
                  <c:v>1.8323957091666662E-2</c:v>
                </c:pt>
                <c:pt idx="34">
                  <c:v>1.8323957091666662E-2</c:v>
                </c:pt>
                <c:pt idx="35">
                  <c:v>1.8323957091666662E-2</c:v>
                </c:pt>
                <c:pt idx="36">
                  <c:v>1.8323957091666662E-2</c:v>
                </c:pt>
              </c:numCache>
            </c:numRef>
          </c:val>
        </c:ser>
        <c:ser>
          <c:idx val="1"/>
          <c:order val="1"/>
          <c:tx>
            <c:strRef>
              <c:f>Charts_ENG!$K$19</c:f>
              <c:strCache>
                <c:ptCount val="1"/>
                <c:pt idx="0">
                  <c:v>Eurobonds</c:v>
                </c:pt>
              </c:strCache>
            </c:strRef>
          </c:tx>
          <c:invertIfNegative val="0"/>
          <c:cat>
            <c:numRef>
              <c:f>Charts_ENG!$L$17:$AV$17</c:f>
              <c:numCache>
                <c:formatCode>General</c:formatCode>
                <c:ptCount val="3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numCache>
            </c:numRef>
          </c:cat>
          <c:val>
            <c:numRef>
              <c:f>Charts_ENG!$L$19:$AV$19</c:f>
              <c:numCache>
                <c:formatCode>_(* #,##0.0_);_(* \(#,##0.0\);_(* "-"??_);_(@_)</c:formatCode>
                <c:ptCount val="37"/>
                <c:pt idx="0">
                  <c:v>0</c:v>
                </c:pt>
                <c:pt idx="1">
                  <c:v>0</c:v>
                </c:pt>
                <c:pt idx="2">
                  <c:v>242.08485520000002</c:v>
                </c:pt>
                <c:pt idx="3">
                  <c:v>0</c:v>
                </c:pt>
                <c:pt idx="4">
                  <c:v>0</c:v>
                </c:pt>
                <c:pt idx="5">
                  <c:v>0</c:v>
                </c:pt>
                <c:pt idx="6">
                  <c:v>0</c:v>
                </c:pt>
                <c:pt idx="7">
                  <c:v>242.05</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ser>
        <c:ser>
          <c:idx val="2"/>
          <c:order val="2"/>
          <c:tx>
            <c:strRef>
              <c:f>Charts_ENG!$K$20</c:f>
              <c:strCache>
                <c:ptCount val="1"/>
                <c:pt idx="0">
                  <c:v>GS Denominated in AMD</c:v>
                </c:pt>
              </c:strCache>
            </c:strRef>
          </c:tx>
          <c:invertIfNegative val="0"/>
          <c:cat>
            <c:numRef>
              <c:f>Charts_ENG!$L$17:$AV$17</c:f>
              <c:numCache>
                <c:formatCode>General</c:formatCode>
                <c:ptCount val="3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numCache>
            </c:numRef>
          </c:cat>
          <c:val>
            <c:numRef>
              <c:f>Charts_ENG!$L$20:$AV$20</c:f>
              <c:numCache>
                <c:formatCode>_(* #,##0.0_);_(* \(#,##0.0\);_(* "-"??_);_(@_)</c:formatCode>
                <c:ptCount val="37"/>
                <c:pt idx="0">
                  <c:v>90.058942999999999</c:v>
                </c:pt>
                <c:pt idx="1">
                  <c:v>60.985822000000006</c:v>
                </c:pt>
                <c:pt idx="2">
                  <c:v>64.22581799999999</c:v>
                </c:pt>
                <c:pt idx="3">
                  <c:v>69.765297000000004</c:v>
                </c:pt>
                <c:pt idx="4">
                  <c:v>27.605</c:v>
                </c:pt>
                <c:pt idx="5">
                  <c:v>14.625</c:v>
                </c:pt>
                <c:pt idx="6">
                  <c:v>0</c:v>
                </c:pt>
                <c:pt idx="7">
                  <c:v>42.574199999999998</c:v>
                </c:pt>
                <c:pt idx="8">
                  <c:v>0</c:v>
                </c:pt>
                <c:pt idx="9">
                  <c:v>12</c:v>
                </c:pt>
                <c:pt idx="10">
                  <c:v>18.690090000000001</c:v>
                </c:pt>
                <c:pt idx="11">
                  <c:v>0</c:v>
                </c:pt>
                <c:pt idx="12">
                  <c:v>0</c:v>
                </c:pt>
                <c:pt idx="13">
                  <c:v>0</c:v>
                </c:pt>
                <c:pt idx="14">
                  <c:v>44</c:v>
                </c:pt>
                <c:pt idx="15">
                  <c:v>0</c:v>
                </c:pt>
                <c:pt idx="16">
                  <c:v>0</c:v>
                </c:pt>
                <c:pt idx="17">
                  <c:v>0</c:v>
                </c:pt>
                <c:pt idx="18">
                  <c:v>80</c:v>
                </c:pt>
                <c:pt idx="19">
                  <c:v>0</c:v>
                </c:pt>
                <c:pt idx="20">
                  <c:v>0</c:v>
                </c:pt>
                <c:pt idx="21">
                  <c:v>0</c:v>
                </c:pt>
                <c:pt idx="22">
                  <c:v>0</c:v>
                </c:pt>
                <c:pt idx="23">
                  <c:v>0</c:v>
                </c:pt>
                <c:pt idx="24">
                  <c:v>0</c:v>
                </c:pt>
                <c:pt idx="25">
                  <c:v>0</c:v>
                </c:pt>
                <c:pt idx="26">
                  <c:v>0</c:v>
                </c:pt>
                <c:pt idx="27">
                  <c:v>0</c:v>
                </c:pt>
                <c:pt idx="28">
                  <c:v>0</c:v>
                </c:pt>
                <c:pt idx="29">
                  <c:v>25.2</c:v>
                </c:pt>
                <c:pt idx="30">
                  <c:v>0</c:v>
                </c:pt>
                <c:pt idx="31">
                  <c:v>0</c:v>
                </c:pt>
                <c:pt idx="32">
                  <c:v>0</c:v>
                </c:pt>
                <c:pt idx="33">
                  <c:v>0</c:v>
                </c:pt>
                <c:pt idx="34">
                  <c:v>0</c:v>
                </c:pt>
                <c:pt idx="35">
                  <c:v>0</c:v>
                </c:pt>
                <c:pt idx="36">
                  <c:v>0</c:v>
                </c:pt>
              </c:numCache>
            </c:numRef>
          </c:val>
        </c:ser>
        <c:ser>
          <c:idx val="3"/>
          <c:order val="3"/>
          <c:tx>
            <c:strRef>
              <c:f>Charts_ENG!$K$21</c:f>
              <c:strCache>
                <c:ptCount val="1"/>
                <c:pt idx="0">
                  <c:v>Guarantees</c:v>
                </c:pt>
              </c:strCache>
            </c:strRef>
          </c:tx>
          <c:invertIfNegative val="0"/>
          <c:cat>
            <c:numRef>
              <c:f>Charts_ENG!$L$17:$AV$17</c:f>
              <c:numCache>
                <c:formatCode>General</c:formatCode>
                <c:ptCount val="3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numCache>
            </c:numRef>
          </c:cat>
          <c:val>
            <c:numRef>
              <c:f>Charts_ENG!$L$21:$AV$21</c:f>
              <c:numCache>
                <c:formatCode>_(* #,##0.0_);_(* \(#,##0.0\);_(* "-"??_);_(@_)</c:formatCode>
                <c:ptCount val="37"/>
                <c:pt idx="0">
                  <c:v>0</c:v>
                </c:pt>
                <c:pt idx="1">
                  <c:v>0.29046</c:v>
                </c:pt>
                <c:pt idx="2">
                  <c:v>2.3338712731999998</c:v>
                </c:pt>
                <c:pt idx="3">
                  <c:v>1.5796938196000001</c:v>
                </c:pt>
                <c:pt idx="4">
                  <c:v>0.15287490720000002</c:v>
                </c:pt>
                <c:pt idx="5">
                  <c:v>0.13770540641096152</c:v>
                </c:pt>
                <c:pt idx="6">
                  <c:v>0.27541081282192303</c:v>
                </c:pt>
                <c:pt idx="7">
                  <c:v>0.27541081282192303</c:v>
                </c:pt>
                <c:pt idx="8">
                  <c:v>0.27541081282192303</c:v>
                </c:pt>
                <c:pt idx="9">
                  <c:v>0.27541081282192303</c:v>
                </c:pt>
                <c:pt idx="10">
                  <c:v>0.27541081282192303</c:v>
                </c:pt>
                <c:pt idx="11">
                  <c:v>0.27541081282192303</c:v>
                </c:pt>
                <c:pt idx="12">
                  <c:v>0.27541081282192303</c:v>
                </c:pt>
                <c:pt idx="13">
                  <c:v>0.27541081282192303</c:v>
                </c:pt>
                <c:pt idx="14">
                  <c:v>0.27541081282192303</c:v>
                </c:pt>
                <c:pt idx="15">
                  <c:v>0.27541081282192303</c:v>
                </c:pt>
                <c:pt idx="16">
                  <c:v>0.27541081282192303</c:v>
                </c:pt>
                <c:pt idx="17">
                  <c:v>0.28282507092192311</c:v>
                </c:pt>
                <c:pt idx="18">
                  <c:v>0.13029114831096256</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ser>
        <c:dLbls>
          <c:showLegendKey val="0"/>
          <c:showVal val="0"/>
          <c:showCatName val="0"/>
          <c:showSerName val="0"/>
          <c:showPercent val="0"/>
          <c:showBubbleSize val="0"/>
        </c:dLbls>
        <c:gapWidth val="89"/>
        <c:gapDepth val="252"/>
        <c:shape val="box"/>
        <c:axId val="275879936"/>
        <c:axId val="264878848"/>
        <c:axId val="0"/>
      </c:bar3DChart>
      <c:catAx>
        <c:axId val="275879936"/>
        <c:scaling>
          <c:orientation val="minMax"/>
        </c:scaling>
        <c:delete val="0"/>
        <c:axPos val="b"/>
        <c:numFmt formatCode="General" sourceLinked="1"/>
        <c:majorTickMark val="out"/>
        <c:minorTickMark val="none"/>
        <c:tickLblPos val="nextTo"/>
        <c:txPr>
          <a:bodyPr rot="-3120000"/>
          <a:lstStyle/>
          <a:p>
            <a:pPr>
              <a:defRPr sz="900" b="1"/>
            </a:pPr>
            <a:endParaRPr lang="en-US"/>
          </a:p>
        </c:txPr>
        <c:crossAx val="264878848"/>
        <c:crosses val="autoZero"/>
        <c:auto val="1"/>
        <c:lblAlgn val="ctr"/>
        <c:lblOffset val="100"/>
        <c:noMultiLvlLbl val="0"/>
      </c:catAx>
      <c:valAx>
        <c:axId val="264878848"/>
        <c:scaling>
          <c:orientation val="minMax"/>
        </c:scaling>
        <c:delete val="0"/>
        <c:axPos val="l"/>
        <c:majorGridlines/>
        <c:numFmt formatCode="0" sourceLinked="0"/>
        <c:majorTickMark val="out"/>
        <c:minorTickMark val="none"/>
        <c:tickLblPos val="nextTo"/>
        <c:txPr>
          <a:bodyPr/>
          <a:lstStyle/>
          <a:p>
            <a:pPr>
              <a:defRPr sz="1000"/>
            </a:pPr>
            <a:endParaRPr lang="en-US"/>
          </a:p>
        </c:txPr>
        <c:crossAx val="275879936"/>
        <c:crosses val="autoZero"/>
        <c:crossBetween val="between"/>
      </c:valAx>
    </c:plotArea>
    <c:legend>
      <c:legendPos val="b"/>
      <c:layout>
        <c:manualLayout>
          <c:xMode val="edge"/>
          <c:yMode val="edge"/>
          <c:x val="2.5175497275909651E-2"/>
          <c:y val="0.87681401055648123"/>
          <c:w val="0.94004199528809718"/>
          <c:h val="9.488943893096885E-2"/>
        </c:manualLayout>
      </c:layout>
      <c:overlay val="0"/>
      <c:txPr>
        <a:bodyPr/>
        <a:lstStyle/>
        <a:p>
          <a:pPr>
            <a:defRPr sz="800" b="0" baseline="0">
              <a:latin typeface="GHEA Grapalat" pitchFamily="50" charset="0"/>
            </a:defRPr>
          </a:pPr>
          <a:endParaRPr lang="en-US"/>
        </a:p>
      </c:txPr>
    </c:legend>
    <c:plotVisOnly val="1"/>
    <c:dispBlanksAs val="gap"/>
    <c:showDLblsOverMax val="0"/>
  </c:chart>
  <c:spPr>
    <a:ln cap="rnd"/>
  </c:spPr>
  <c:txPr>
    <a:bodyPr/>
    <a:lstStyle/>
    <a:p>
      <a:pPr>
        <a:defRPr sz="1200"/>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EE26D1EBACC44B95F32A7D2CFD290"/>
        <w:category>
          <w:name w:val="General"/>
          <w:gallery w:val="placeholder"/>
        </w:category>
        <w:types>
          <w:type w:val="bbPlcHdr"/>
        </w:types>
        <w:behaviors>
          <w:behavior w:val="content"/>
        </w:behaviors>
        <w:guid w:val="{07527325-AD7F-794E-AA67-AE39074E2452}"/>
      </w:docPartPr>
      <w:docPartBody>
        <w:p w:rsidR="00B743E4" w:rsidRDefault="00045B5F" w:rsidP="00045B5F">
          <w:pPr>
            <w:pStyle w:val="CD5EE26D1EBACC44B95F32A7D2CFD290"/>
          </w:pPr>
          <w:r>
            <w:t>[Type text]</w:t>
          </w:r>
        </w:p>
      </w:docPartBody>
    </w:docPart>
    <w:docPart>
      <w:docPartPr>
        <w:name w:val="A38F1BD93F30A24B9099E78FBDD6E6E6"/>
        <w:category>
          <w:name w:val="General"/>
          <w:gallery w:val="placeholder"/>
        </w:category>
        <w:types>
          <w:type w:val="bbPlcHdr"/>
        </w:types>
        <w:behaviors>
          <w:behavior w:val="content"/>
        </w:behaviors>
        <w:guid w:val="{987EB92F-B1FD-A445-AD13-03ACBE100CD7}"/>
      </w:docPartPr>
      <w:docPartBody>
        <w:p w:rsidR="00B743E4" w:rsidRDefault="00045B5F" w:rsidP="00045B5F">
          <w:pPr>
            <w:pStyle w:val="A38F1BD93F30A24B9099E78FBDD6E6E6"/>
          </w:pPr>
          <w:r>
            <w:t>[Type text]</w:t>
          </w:r>
        </w:p>
      </w:docPartBody>
    </w:docPart>
    <w:docPart>
      <w:docPartPr>
        <w:name w:val="9ABCFA5F3895C240990767A0E816E62C"/>
        <w:category>
          <w:name w:val="General"/>
          <w:gallery w:val="placeholder"/>
        </w:category>
        <w:types>
          <w:type w:val="bbPlcHdr"/>
        </w:types>
        <w:behaviors>
          <w:behavior w:val="content"/>
        </w:behaviors>
        <w:guid w:val="{9E8B2BFD-D6A7-2443-8167-850215933E9B}"/>
      </w:docPartPr>
      <w:docPartBody>
        <w:p w:rsidR="00B743E4" w:rsidRDefault="00045B5F" w:rsidP="00045B5F">
          <w:pPr>
            <w:pStyle w:val="9ABCFA5F3895C240990767A0E816E6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5F"/>
    <w:rsid w:val="00003D36"/>
    <w:rsid w:val="000316D8"/>
    <w:rsid w:val="00045666"/>
    <w:rsid w:val="00045B5F"/>
    <w:rsid w:val="00045B6B"/>
    <w:rsid w:val="000468DC"/>
    <w:rsid w:val="00071B61"/>
    <w:rsid w:val="00084BF6"/>
    <w:rsid w:val="00085A35"/>
    <w:rsid w:val="000863C1"/>
    <w:rsid w:val="000A1AC1"/>
    <w:rsid w:val="000A475E"/>
    <w:rsid w:val="000B04BF"/>
    <w:rsid w:val="000C0316"/>
    <w:rsid w:val="000C1156"/>
    <w:rsid w:val="000D6E3C"/>
    <w:rsid w:val="000E316B"/>
    <w:rsid w:val="000F3668"/>
    <w:rsid w:val="000F6A63"/>
    <w:rsid w:val="001016F0"/>
    <w:rsid w:val="001047D0"/>
    <w:rsid w:val="00124FBA"/>
    <w:rsid w:val="00164018"/>
    <w:rsid w:val="0017732D"/>
    <w:rsid w:val="0018695F"/>
    <w:rsid w:val="001A7F33"/>
    <w:rsid w:val="001B0E5D"/>
    <w:rsid w:val="001E30F7"/>
    <w:rsid w:val="001E4540"/>
    <w:rsid w:val="00217621"/>
    <w:rsid w:val="00226CA8"/>
    <w:rsid w:val="00237D4E"/>
    <w:rsid w:val="00252848"/>
    <w:rsid w:val="0025688D"/>
    <w:rsid w:val="0025768F"/>
    <w:rsid w:val="002A24FE"/>
    <w:rsid w:val="002A395F"/>
    <w:rsid w:val="002B0A5C"/>
    <w:rsid w:val="002B2EAF"/>
    <w:rsid w:val="002C2F7D"/>
    <w:rsid w:val="002D2EE7"/>
    <w:rsid w:val="002E51B1"/>
    <w:rsid w:val="002F30EB"/>
    <w:rsid w:val="00302F87"/>
    <w:rsid w:val="00303C59"/>
    <w:rsid w:val="00306F08"/>
    <w:rsid w:val="0031053E"/>
    <w:rsid w:val="00310EF5"/>
    <w:rsid w:val="0031774A"/>
    <w:rsid w:val="00327075"/>
    <w:rsid w:val="00331088"/>
    <w:rsid w:val="00355F61"/>
    <w:rsid w:val="003600AE"/>
    <w:rsid w:val="0036502A"/>
    <w:rsid w:val="003861F7"/>
    <w:rsid w:val="003920FE"/>
    <w:rsid w:val="003D331E"/>
    <w:rsid w:val="003D7D1C"/>
    <w:rsid w:val="003F5C48"/>
    <w:rsid w:val="004016CC"/>
    <w:rsid w:val="00414B02"/>
    <w:rsid w:val="00415DA7"/>
    <w:rsid w:val="00445F04"/>
    <w:rsid w:val="00452368"/>
    <w:rsid w:val="0045730D"/>
    <w:rsid w:val="0046165E"/>
    <w:rsid w:val="00470823"/>
    <w:rsid w:val="00472DFA"/>
    <w:rsid w:val="00473F61"/>
    <w:rsid w:val="00480DDE"/>
    <w:rsid w:val="004869B8"/>
    <w:rsid w:val="00495C42"/>
    <w:rsid w:val="004B5410"/>
    <w:rsid w:val="004C2053"/>
    <w:rsid w:val="004C3857"/>
    <w:rsid w:val="004D020D"/>
    <w:rsid w:val="005044BE"/>
    <w:rsid w:val="005249CF"/>
    <w:rsid w:val="00526D6C"/>
    <w:rsid w:val="0053417B"/>
    <w:rsid w:val="005425E6"/>
    <w:rsid w:val="005442F7"/>
    <w:rsid w:val="005456B0"/>
    <w:rsid w:val="00553A48"/>
    <w:rsid w:val="00553A85"/>
    <w:rsid w:val="00556035"/>
    <w:rsid w:val="00561C2A"/>
    <w:rsid w:val="00564949"/>
    <w:rsid w:val="00592FFA"/>
    <w:rsid w:val="005A000D"/>
    <w:rsid w:val="005A0970"/>
    <w:rsid w:val="005B22F8"/>
    <w:rsid w:val="005C1FDC"/>
    <w:rsid w:val="005D1AAE"/>
    <w:rsid w:val="005E165F"/>
    <w:rsid w:val="00606C16"/>
    <w:rsid w:val="00610BE4"/>
    <w:rsid w:val="00612024"/>
    <w:rsid w:val="0061587A"/>
    <w:rsid w:val="00616F56"/>
    <w:rsid w:val="006203FF"/>
    <w:rsid w:val="00624519"/>
    <w:rsid w:val="006304B7"/>
    <w:rsid w:val="0063291E"/>
    <w:rsid w:val="00635428"/>
    <w:rsid w:val="0064298A"/>
    <w:rsid w:val="00646B4F"/>
    <w:rsid w:val="00653D76"/>
    <w:rsid w:val="00662A55"/>
    <w:rsid w:val="006717D4"/>
    <w:rsid w:val="0067188F"/>
    <w:rsid w:val="0068601A"/>
    <w:rsid w:val="006A5656"/>
    <w:rsid w:val="006B44D3"/>
    <w:rsid w:val="006C3B45"/>
    <w:rsid w:val="006C7C3D"/>
    <w:rsid w:val="006E0EF4"/>
    <w:rsid w:val="006E3970"/>
    <w:rsid w:val="00705C80"/>
    <w:rsid w:val="007158EB"/>
    <w:rsid w:val="00735662"/>
    <w:rsid w:val="00737570"/>
    <w:rsid w:val="00745279"/>
    <w:rsid w:val="00747CBC"/>
    <w:rsid w:val="00750C98"/>
    <w:rsid w:val="00763A30"/>
    <w:rsid w:val="00767962"/>
    <w:rsid w:val="00774289"/>
    <w:rsid w:val="00776FD7"/>
    <w:rsid w:val="007977A9"/>
    <w:rsid w:val="007B0B3A"/>
    <w:rsid w:val="007B7ECD"/>
    <w:rsid w:val="007D6EB7"/>
    <w:rsid w:val="00817F04"/>
    <w:rsid w:val="00823449"/>
    <w:rsid w:val="00844D92"/>
    <w:rsid w:val="00847B06"/>
    <w:rsid w:val="00847FE7"/>
    <w:rsid w:val="00856264"/>
    <w:rsid w:val="008819E2"/>
    <w:rsid w:val="00883847"/>
    <w:rsid w:val="00884C78"/>
    <w:rsid w:val="00890D7E"/>
    <w:rsid w:val="008A66C8"/>
    <w:rsid w:val="008A66D5"/>
    <w:rsid w:val="008F58D3"/>
    <w:rsid w:val="009063C7"/>
    <w:rsid w:val="009178EF"/>
    <w:rsid w:val="00921C46"/>
    <w:rsid w:val="00932BDD"/>
    <w:rsid w:val="00937F2D"/>
    <w:rsid w:val="00942F47"/>
    <w:rsid w:val="00946BCD"/>
    <w:rsid w:val="00952827"/>
    <w:rsid w:val="00954F4D"/>
    <w:rsid w:val="00955569"/>
    <w:rsid w:val="00971C74"/>
    <w:rsid w:val="009805C7"/>
    <w:rsid w:val="009B07A2"/>
    <w:rsid w:val="009D1018"/>
    <w:rsid w:val="009D50A7"/>
    <w:rsid w:val="009F0910"/>
    <w:rsid w:val="00A07BDC"/>
    <w:rsid w:val="00A254D8"/>
    <w:rsid w:val="00A323BD"/>
    <w:rsid w:val="00A4254A"/>
    <w:rsid w:val="00A42792"/>
    <w:rsid w:val="00A43301"/>
    <w:rsid w:val="00A46257"/>
    <w:rsid w:val="00A50748"/>
    <w:rsid w:val="00A6603B"/>
    <w:rsid w:val="00A912CA"/>
    <w:rsid w:val="00AA5EDD"/>
    <w:rsid w:val="00AB0342"/>
    <w:rsid w:val="00AC1B72"/>
    <w:rsid w:val="00AC33C7"/>
    <w:rsid w:val="00AD0DD1"/>
    <w:rsid w:val="00AD18C4"/>
    <w:rsid w:val="00AF3FC6"/>
    <w:rsid w:val="00B214B0"/>
    <w:rsid w:val="00B22DD1"/>
    <w:rsid w:val="00B2784F"/>
    <w:rsid w:val="00B72F27"/>
    <w:rsid w:val="00B743E4"/>
    <w:rsid w:val="00BA1101"/>
    <w:rsid w:val="00BB5D77"/>
    <w:rsid w:val="00BC5AB0"/>
    <w:rsid w:val="00BC7801"/>
    <w:rsid w:val="00BC7FDE"/>
    <w:rsid w:val="00C0257B"/>
    <w:rsid w:val="00C13FEA"/>
    <w:rsid w:val="00C148E1"/>
    <w:rsid w:val="00C51697"/>
    <w:rsid w:val="00C617BB"/>
    <w:rsid w:val="00C62FC9"/>
    <w:rsid w:val="00C66B15"/>
    <w:rsid w:val="00C67578"/>
    <w:rsid w:val="00C728D4"/>
    <w:rsid w:val="00C84101"/>
    <w:rsid w:val="00CA2B96"/>
    <w:rsid w:val="00CC2522"/>
    <w:rsid w:val="00CF1C0B"/>
    <w:rsid w:val="00CF5142"/>
    <w:rsid w:val="00D02E03"/>
    <w:rsid w:val="00D0456A"/>
    <w:rsid w:val="00D223C2"/>
    <w:rsid w:val="00D23E1E"/>
    <w:rsid w:val="00D242CF"/>
    <w:rsid w:val="00D26900"/>
    <w:rsid w:val="00D27238"/>
    <w:rsid w:val="00D36093"/>
    <w:rsid w:val="00D47579"/>
    <w:rsid w:val="00D5364D"/>
    <w:rsid w:val="00D67A1A"/>
    <w:rsid w:val="00D73937"/>
    <w:rsid w:val="00D80C01"/>
    <w:rsid w:val="00D9744A"/>
    <w:rsid w:val="00DB20F9"/>
    <w:rsid w:val="00DD3EFF"/>
    <w:rsid w:val="00DE3529"/>
    <w:rsid w:val="00DF014D"/>
    <w:rsid w:val="00DF2424"/>
    <w:rsid w:val="00E058FD"/>
    <w:rsid w:val="00E161D5"/>
    <w:rsid w:val="00E342A4"/>
    <w:rsid w:val="00E4494E"/>
    <w:rsid w:val="00E6006E"/>
    <w:rsid w:val="00EA2F21"/>
    <w:rsid w:val="00EB3882"/>
    <w:rsid w:val="00EB74E0"/>
    <w:rsid w:val="00EC30C0"/>
    <w:rsid w:val="00EE5585"/>
    <w:rsid w:val="00EE7D15"/>
    <w:rsid w:val="00EF3528"/>
    <w:rsid w:val="00EF6C45"/>
    <w:rsid w:val="00F0034A"/>
    <w:rsid w:val="00F20A33"/>
    <w:rsid w:val="00F42ECB"/>
    <w:rsid w:val="00F70130"/>
    <w:rsid w:val="00F87623"/>
    <w:rsid w:val="00F95009"/>
    <w:rsid w:val="00FC4A85"/>
    <w:rsid w:val="00FD6D5D"/>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DF6F-6D49-4544-A8D2-2A76A0B0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14812</Words>
  <Characters>84431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99045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 Andreoli Jr.</dc:creator>
  <cp:lastModifiedBy>Artur Hambardzumyan</cp:lastModifiedBy>
  <cp:revision>2</cp:revision>
  <cp:lastPrinted>2018-04-20T05:01:00Z</cp:lastPrinted>
  <dcterms:created xsi:type="dcterms:W3CDTF">2018-05-29T12:12:00Z</dcterms:created>
  <dcterms:modified xsi:type="dcterms:W3CDTF">2018-05-29T12:12:00Z</dcterms:modified>
</cp:coreProperties>
</file>